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fencf-20260331x10q.htm"/>
        <w:bookmarkStart w:id="1" w:name="ksfencf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fcb1ab41_bc88_417e_8742_1fdef57365bb"/>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24"/>
        <w:gridCol w:w="4177"/>
        <w:gridCol w:w="59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7" w:type="dxa"/>
            <w:tcBorders/>
            <w:vAlign w:val="center"/>
          </w:tcPr>
          <w:p>
            <w:pPr>
              <w:pStyle w:val="TableContents"/>
              <w:bidi w:val="0"/>
              <w:spacing w:before="0" w:after="283"/>
              <w:ind w:left="0" w:right="0" w:hanging="0"/>
              <w:jc w:val="left"/>
              <w:rPr>
                <w:sz w:val="4"/>
                <w:szCs w:val="4"/>
              </w:rPr>
            </w:pPr>
            <w:r>
              <w:rPr>
                <w:sz w:val="4"/>
                <w:szCs w:val="4"/>
              </w:rPr>
            </w:r>
          </w:p>
        </w:tc>
        <w:tc>
          <w:tcPr>
            <w:tcW w:w="590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174"/>
        <w:gridCol w:w="59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4" w:type="dxa"/>
            <w:tcBorders/>
            <w:vAlign w:val="center"/>
          </w:tcPr>
          <w:p>
            <w:pPr>
              <w:pStyle w:val="TableContents"/>
              <w:bidi w:val="0"/>
              <w:spacing w:before="0" w:after="283"/>
              <w:ind w:left="0" w:right="0" w:hanging="0"/>
              <w:jc w:val="left"/>
              <w:rPr>
                <w:sz w:val="4"/>
                <w:szCs w:val="4"/>
              </w:rPr>
            </w:pPr>
            <w:r>
              <w:rPr>
                <w:sz w:val="4"/>
                <w:szCs w:val="4"/>
              </w:rPr>
            </w:r>
          </w:p>
        </w:tc>
        <w:tc>
          <w:tcPr>
            <w:tcW w:w="59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from____ to 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001-32295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796XK7VYUyyR4BzjEFG0w_4_1"/>
      <w:bookmarkStart w:id="4" w:name="Tc_NGOWJC6awEOundYGef8Maw_4_0"/>
      <w:bookmarkStart w:id="5" w:name="Tc_g5DYyET4sUW02t2To5U8vg_2_1"/>
      <w:bookmarkStart w:id="6" w:name="Tc_HzzdRqx3AECY6qv5C5RbJA_2_0"/>
      <w:bookmarkStart w:id="7" w:name="Tc_4q9Xnz5Urk2YjUL59r0QrQ_1_0"/>
      <w:bookmarkStart w:id="8" w:name="_cd4b4104_5d9b_4130_810f_4dbad4e83014"/>
      <w:bookmarkStart w:id="9" w:name="Tc_e796XK7VYUyyR4BzjEFG0w_4_1"/>
      <w:bookmarkStart w:id="10" w:name="Tc_NGOWJC6awEOundYGef8Maw_4_0"/>
      <w:bookmarkStart w:id="11" w:name="Tc_g5DYyET4sUW02t2To5U8vg_2_1"/>
      <w:bookmarkStart w:id="12" w:name="Tc_HzzdRqx3AECY6qv5C5RbJA_2_0"/>
      <w:bookmarkStart w:id="13" w:name="Tc_4q9Xnz5Urk2YjUL59r0QrQ_1_0"/>
      <w:bookmarkStart w:id="14" w:name="_cd4b4104_5d9b_4130_810f_4dbad4e83014"/>
      <w:bookmarkEnd w:id="9"/>
      <w:bookmarkEnd w:id="10"/>
      <w:bookmarkEnd w:id="11"/>
      <w:bookmarkEnd w:id="12"/>
      <w:bookmarkEnd w:id="13"/>
      <w:bookmarkEnd w:id="14"/>
    </w:p>
    <w:tbl>
      <w:tblPr>
        <w:tblW w:w="5237" w:type="dxa"/>
        <w:jc w:val="left"/>
        <w:tblInd w:w="0" w:type="dxa"/>
        <w:tblLayout w:type="fixed"/>
        <w:tblCellMar>
          <w:top w:w="0" w:type="dxa"/>
          <w:left w:w="0" w:type="dxa"/>
          <w:bottom w:w="0" w:type="dxa"/>
          <w:right w:w="0" w:type="dxa"/>
        </w:tblCellMar>
      </w:tblPr>
      <w:tblGrid>
        <w:gridCol w:w="3556"/>
        <w:gridCol w:w="16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68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3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55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center"/>
              <w:rPr/>
            </w:pPr>
            <w:r>
              <w:rPr/>
              <w:t> </w:t>
            </w:r>
          </w:p>
        </w:tc>
      </w:tr>
      <w:tr>
        <w:trPr/>
        <w:tc>
          <w:tcPr>
            <w:tcW w:w="3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PO Box 13628, 68 TW Alexander Drive</w:t>
            </w:r>
            <w:r>
              <w:rPr>
                <w:rFonts w:ascii="Times New Roman;Times;serif" w:hAnsi="Times New Roman;Times;serif"/>
                <w:sz w:val="20"/>
              </w:rPr>
              <w:br/>
            </w:r>
            <w:r>
              <w:rPr>
                <w:rFonts w:ascii="Times New Roman;Times;serif" w:hAnsi="Times New Roman;Times;serif"/>
                <w:b/>
                <w:sz w:val="20"/>
              </w:rPr>
              <w:t>Research Triangle Park, North Carolina</w:t>
            </w:r>
            <w:r>
              <w:rPr>
                <w:rFonts w:ascii="Times New Roman;Times;serif" w:hAnsi="Times New Roman;Times;serif"/>
                <w:sz w:val="20"/>
              </w:rPr>
              <w:br/>
            </w:r>
            <w:r>
              <w:rPr>
                <w:rFonts w:ascii="Times New Roman;Times;serif" w:hAnsi="Times New Roman;Times;serif"/>
                <w:b/>
                <w:sz w:val="20"/>
              </w:rPr>
              <w:t>(Address of Principal Executive Offices)</w:t>
            </w:r>
          </w:p>
        </w:tc>
        <w:tc>
          <w:tcPr>
            <w:tcW w:w="16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27709</w:t>
            </w:r>
            <w:r>
              <w:rPr>
                <w:rFonts w:ascii="Times New Roman;Times;serif" w:hAnsi="Times New Roman;Times;serif"/>
                <w:sz w:val="20"/>
              </w:rPr>
              <w:br/>
            </w: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(919) 636-4530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5" w:name="Tc_O_DyuUnj4E-B8y0gazareQ_2_2"/>
      <w:bookmarkStart w:id="16" w:name="Tc_R9QhbXwSckWUDGJ4oEIdWg_1_2"/>
      <w:bookmarkStart w:id="17" w:name="Tc_kNSqLa8FEUKSnYBAWKmCrA_1_1"/>
      <w:bookmarkStart w:id="18" w:name="Tc_9ophn6GOQkal9GRw-XBx9g_1_0"/>
      <w:bookmarkStart w:id="19" w:name="_e8dec0ef_aa2f_4437_b0f1_d4acdb5a2b36"/>
      <w:bookmarkStart w:id="20" w:name="Tc_O_DyuUnj4E-B8y0gazareQ_2_2"/>
      <w:bookmarkStart w:id="21" w:name="Tc_R9QhbXwSckWUDGJ4oEIdWg_1_2"/>
      <w:bookmarkStart w:id="22" w:name="Tc_kNSqLa8FEUKSnYBAWKmCrA_1_1"/>
      <w:bookmarkStart w:id="23" w:name="Tc_9ophn6GOQkal9GRw-XBx9g_1_0"/>
      <w:bookmarkStart w:id="24" w:name="_e8dec0ef_aa2f_4437_b0f1_d4acdb5a2b36"/>
      <w:bookmarkEnd w:id="20"/>
      <w:bookmarkEnd w:id="21"/>
      <w:bookmarkEnd w:id="22"/>
      <w:bookmarkEnd w:id="23"/>
      <w:bookmarkEnd w:id="24"/>
    </w:p>
    <w:tbl>
      <w:tblPr>
        <w:tblW w:w="7863" w:type="dxa"/>
        <w:jc w:val="left"/>
        <w:tblInd w:w="0" w:type="dxa"/>
        <w:tblLayout w:type="fixed"/>
        <w:tblCellMar>
          <w:top w:w="0" w:type="dxa"/>
          <w:left w:w="0" w:type="dxa"/>
          <w:bottom w:w="0" w:type="dxa"/>
          <w:right w:w="0" w:type="dxa"/>
        </w:tblCellMar>
      </w:tblPr>
      <w:tblGrid>
        <w:gridCol w:w="2536"/>
        <w:gridCol w:w="1621"/>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FENC</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 w:name="Tc_Un2dM9CK70i73Ml7kdDNWg_2_3"/>
      <w:bookmarkStart w:id="26" w:name="Tc_ZzFFw7xwFEKZjF8juV_q2Q_1_3"/>
      <w:bookmarkStart w:id="27" w:name="Tc_y5MetR0_jE-UIbDp-N2HXg_1_1"/>
      <w:bookmarkStart w:id="28" w:name="Tc_K780HGEzF0u4fUIBLlpSqg_0_4"/>
      <w:bookmarkStart w:id="29" w:name="Tc_MAVikgXackWYgp50qgZoFg_0_3"/>
      <w:bookmarkStart w:id="30" w:name="Tc_NdSCJm_wpkCFwJhNQjfJZg_0_1"/>
      <w:bookmarkStart w:id="31" w:name="Tc_41-s-SgAdkexMN6VKFldKg_0_0"/>
      <w:bookmarkStart w:id="32" w:name="_97dd8d3b_9ffb_48d9_b10e_60b308636b69"/>
      <w:bookmarkStart w:id="33" w:name="Tc_Un2dM9CK70i73Ml7kdDNWg_2_3"/>
      <w:bookmarkStart w:id="34" w:name="Tc_ZzFFw7xwFEKZjF8juV_q2Q_1_3"/>
      <w:bookmarkStart w:id="35" w:name="Tc_y5MetR0_jE-UIbDp-N2HXg_1_1"/>
      <w:bookmarkStart w:id="36" w:name="Tc_K780HGEzF0u4fUIBLlpSqg_0_4"/>
      <w:bookmarkStart w:id="37" w:name="Tc_MAVikgXackWYgp50qgZoFg_0_3"/>
      <w:bookmarkStart w:id="38" w:name="Tc_NdSCJm_wpkCFwJhNQjfJZg_0_1"/>
      <w:bookmarkStart w:id="39" w:name="Tc_41-s-SgAdkexMN6VKFldKg_0_0"/>
      <w:bookmarkStart w:id="40" w:name="_97dd8d3b_9ffb_48d9_b10e_60b308636b69"/>
      <w:bookmarkEnd w:id="33"/>
      <w:bookmarkEnd w:id="34"/>
      <w:bookmarkEnd w:id="35"/>
      <w:bookmarkEnd w:id="36"/>
      <w:bookmarkEnd w:id="37"/>
      <w:bookmarkEnd w:id="38"/>
      <w:bookmarkEnd w:id="39"/>
      <w:bookmarkEnd w:id="40"/>
    </w:p>
    <w:tbl>
      <w:tblPr>
        <w:tblW w:w="5325" w:type="dxa"/>
        <w:jc w:val="left"/>
        <w:tblInd w:w="0" w:type="dxa"/>
        <w:tblLayout w:type="fixed"/>
        <w:tblCellMar>
          <w:top w:w="0" w:type="dxa"/>
          <w:left w:w="0" w:type="dxa"/>
          <w:bottom w:w="0" w:type="dxa"/>
          <w:right w:w="0" w:type="dxa"/>
        </w:tblCellMar>
      </w:tblPr>
      <w:tblGrid>
        <w:gridCol w:w="2101"/>
        <w:gridCol w:w="316"/>
        <w:gridCol w:w="146"/>
        <w:gridCol w:w="2401"/>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Indicated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May 12, 2026, there were 34,737,030 common shares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TOC"/>
      <w:bookmarkStart w:id="42" w:name="_a58b7a94_520d_4c3a_ab4c_fb1a345e5945"/>
      <w:bookmarkEnd w:id="41"/>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17590" cy="29210"/>
                      <wp:effectExtent l="0" t="0" r="0" b="0"/>
                      <wp:wrapNone/>
                      <wp:docPr id="1" name="Frame1"/>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vAlign w:val="center"/>
          </w:tcPr>
          <w:p>
            <w:pPr>
              <w:pStyle w:val="TableContents"/>
              <w:bidi w:val="0"/>
              <w:spacing w:before="0" w:after="0"/>
              <w:ind w:left="0" w:right="0" w:hanging="0"/>
              <w:jc w:val="left"/>
              <w:rPr/>
            </w:pPr>
            <w:hyperlink w:anchor="PART1FINANCIALINFORMATION_469555">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FinancialStatements_104331">
              <w:r>
                <w:rPr>
                  <w:rStyle w:val="InternetLink"/>
                  <w:rFonts w:ascii="Times New Roman;Times;serif" w:hAnsi="Times New Roman;Times;serif"/>
                  <w:b w:val="false"/>
                  <w:i w:val="false"/>
                  <w:caps w:val="false"/>
                  <w:smallCaps w:val="false"/>
                  <w:sz w:val="20"/>
                </w:rPr>
                <w:t>Item 1.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BalanceSheets_11987">
              <w:r>
                <w:rPr>
                  <w:rStyle w:val="InternetLink"/>
                  <w:rFonts w:ascii="Times New Roman;Times;serif" w:hAnsi="Times New Roman;Times;serif"/>
                  <w:b w:val="false"/>
                  <w:i w:val="false"/>
                  <w:caps w:val="false"/>
                  <w:smallCaps w:val="false"/>
                  <w:sz w:val="20"/>
                </w:rPr>
                <w:t>Condensed Consolidated Balance Sheets (Unaudited) as of March 31, 2026 and December 31,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Months Ended March 31,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Equity/(Deficit) (Unaudited) for the Three Months Ended March 31,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Three Months Ended March 31, 2026 and 2025</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_1.__">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Part_II">
              <w:r>
                <w:rPr>
                  <w:rStyle w:val="InternetLink"/>
                  <w:rFonts w:ascii="Times New Roman;Times;serif" w:hAnsi="Times New Roman;Times;serif"/>
                  <w:b w:val="false"/>
                  <w:i w:val="false"/>
                  <w:caps w:val="false"/>
                  <w:smallCaps w:val="false"/>
                  <w:sz w:val="20"/>
                </w:rPr>
                <w:t>PART II: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ARiskFactors_207910">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DefaultsUponSeniorSecurities_709855">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MineSafetyDisclosures_768258">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5OtherInformation_24980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6Exhibits_98828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SIGNATURES_15794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1FINANCIALINFORMATION_469555"/>
      <w:bookmarkStart w:id="44" w:name="_48cb8af1_3cf8_479a_a639_00f816dae5b2"/>
      <w:bookmarkEnd w:id="43"/>
      <w:bookmarkEnd w:id="44"/>
      <w:r>
        <w:rPr>
          <w:rFonts w:ascii="Times New Roman;Times;serif" w:hAnsi="Times New Roman;Times;serif"/>
          <w:b/>
          <w:sz w:val="20"/>
        </w:rPr>
        <w:t>PART 1: FINANCIAL INFORMATION</w:t>
      </w:r>
    </w:p>
    <w:p>
      <w:pPr>
        <w:pStyle w:val="TextBody"/>
        <w:bidi w:val="0"/>
        <w:spacing w:before="0" w:after="0"/>
        <w:ind w:left="0" w:right="0" w:hanging="0"/>
        <w:jc w:val="center"/>
        <w:rPr>
          <w:rFonts w:ascii="Times New Roman;Times;serif" w:hAnsi="Times New Roman;Times;serif"/>
          <w:b/>
          <w:sz w:val="20"/>
        </w:rPr>
      </w:pPr>
      <w:bookmarkStart w:id="45" w:name="Item1FinancialStatements_104331"/>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11987"/>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X92l2HaflEyO6Nf-Ni5gTg_38_5"/>
      <w:bookmarkStart w:id="48" w:name="Tc_yx6-5NFAE0iXFvIrFu3FrA_38_2"/>
      <w:bookmarkStart w:id="49" w:name="Tc_FIwZzRXdH0m5lYjDttfnGg_38_0"/>
      <w:bookmarkStart w:id="50" w:name="Tc_9LG0Er6NoESl3mxszdV1xg_37_0"/>
      <w:bookmarkStart w:id="51" w:name="Tc_qWPOdsrUF0ShAMEmy_yz2g_36_0"/>
      <w:bookmarkStart w:id="52" w:name="Tc_iHfNqpFvr0e0cC-aq7jtfA_35_0"/>
      <w:bookmarkStart w:id="53" w:name="Tc_4URrLsQDfUKUglct4lgZEA_34_0"/>
      <w:bookmarkStart w:id="54" w:name="_7c1824a3_a308_4bc2_a08f_362984e3bc19_3"/>
      <w:bookmarkStart w:id="55" w:name="_7c1824a3_a308_4bc2_a08f_362984e3bc19_2"/>
      <w:bookmarkStart w:id="56" w:name="_7c1824a3_a308_4bc2_a08f_362984e3bc19"/>
      <w:bookmarkStart w:id="57" w:name="Tc_Qp7O8_XkSEeOVkZG6Z0vig_33_0"/>
      <w:bookmarkStart w:id="58" w:name="Tc_eHVKJGRxvkW0RAEZOsVvsw_32_0"/>
      <w:bookmarkStart w:id="59" w:name="Tc_6sOIEok5iUmYC3ckAz2MHA_30_0"/>
      <w:bookmarkStart w:id="60" w:name="Tc_jLCDku8QcEabOx6sUneD5Q_28_0"/>
      <w:bookmarkStart w:id="61" w:name="Tc_O6f6otG2wEqA9xvyz8cu_Q_27_0"/>
      <w:bookmarkStart w:id="62" w:name="Tc_ySQFm3Lsg0KTY7bc7ZOEmA_26_0"/>
      <w:bookmarkStart w:id="63" w:name="Tc_FW0Bui4mPkio5d69n96_Ew_25_0"/>
      <w:bookmarkStart w:id="64" w:name="Tc_bKK0_jPjr0Sr5Q3Fm07d-A_23_0"/>
      <w:bookmarkStart w:id="65" w:name="Tc_gIJ_itxdnE-5oOlkEZ_ELw_22_0"/>
      <w:bookmarkStart w:id="66" w:name="Tc_4eWqZDkxH02LJl1UNAV4CQ_21_0"/>
      <w:bookmarkStart w:id="67" w:name="Tc_f6Wbevqm10KBdGUqpfraTg_20_5"/>
      <w:bookmarkStart w:id="68" w:name="Tc_7mKBSpCmyE2JUYmrR0P_2g_20_2"/>
      <w:bookmarkStart w:id="69" w:name="Tc_d7Jdjbt9H0W3_nkPmuauGQ_20_0"/>
      <w:bookmarkStart w:id="70" w:name="Tc_x_YCVgsY-EOXmVX0X_gmkA_19_0"/>
      <w:bookmarkStart w:id="71" w:name="Tc_po3Kp9Y1iUiqBngl704plw_18_0"/>
      <w:bookmarkStart w:id="72" w:name="Tc_S0BsRO2l4Ua0JREZ7pcIXA_16_5"/>
      <w:bookmarkStart w:id="73" w:name="Tc_qIsMtgVeUEecKjrVQiTNNA_16_2"/>
      <w:bookmarkStart w:id="74" w:name="Tc_bITUGDyybEqcDNt7Lu2iIA_16_0"/>
      <w:bookmarkStart w:id="75" w:name="Tc_3lE9gYgQ7kyPv77CuY7UFQ_15_0"/>
      <w:bookmarkStart w:id="76" w:name="Tc_-_atu9u870SqF-4oj0xC4A_14_0"/>
      <w:bookmarkStart w:id="77" w:name="Tc_TTnzUsYYIUKaa1jYSsnsGg_13_0"/>
      <w:bookmarkStart w:id="78" w:name="Tc_R1e0kJZiP0akmMeqPiVqTw_12_0"/>
      <w:bookmarkStart w:id="79" w:name="Tc_0NQrsxpENkWQlrqIP9UIsw_10_0"/>
      <w:bookmarkStart w:id="80" w:name="Tc_zsWfKSHlGUyLPBCf6QxkEQ_9_0"/>
      <w:bookmarkStart w:id="81" w:name="Tc_bgreSqqeBkW-djB2Kwi8Sw_8_0"/>
      <w:bookmarkStart w:id="82" w:name="Tc_gKYDJ2sSK0qruCv08emkuw_7_0"/>
      <w:bookmarkStart w:id="83" w:name="Tc_Htkz2Pp-EU2kEpnJA8OpZQ_6_0"/>
      <w:bookmarkStart w:id="84" w:name="Tc_F3P1W1CTpk63i6s10aBVYA_5_5"/>
      <w:bookmarkStart w:id="85" w:name="Tc_zK3IzpyXJku2uAsK9R5SPg_5_2"/>
      <w:bookmarkStart w:id="86" w:name="Tc_bfP8HN8PmEix206xvWgjLQ_5_0"/>
      <w:bookmarkStart w:id="87" w:name="Tc_fdN96KcIBU2nIXw77WhoHQ_4_0"/>
      <w:bookmarkStart w:id="88" w:name="Tc_oGR8UjkS9ke9HnBbX2so_g_3_0"/>
      <w:bookmarkStart w:id="89" w:name="Tc_xiCOuOQ2JU2apASsg2fcsw_1_5"/>
      <w:bookmarkStart w:id="90" w:name="Tc_OiiBtnd5C0Oe7aZlZuJuRg_1_2"/>
      <w:bookmarkStart w:id="91" w:name="_7c8016d0_64b2_421c_ba61_e2508082c7ee"/>
      <w:bookmarkStart w:id="92" w:name="Tc_X92l2HaflEyO6Nf-Ni5gTg_38_5"/>
      <w:bookmarkStart w:id="93" w:name="Tc_yx6-5NFAE0iXFvIrFu3FrA_38_2"/>
      <w:bookmarkStart w:id="94" w:name="Tc_FIwZzRXdH0m5lYjDttfnGg_38_0"/>
      <w:bookmarkStart w:id="95" w:name="Tc_9LG0Er6NoESl3mxszdV1xg_37_0"/>
      <w:bookmarkStart w:id="96" w:name="Tc_qWPOdsrUF0ShAMEmy_yz2g_36_0"/>
      <w:bookmarkStart w:id="97" w:name="Tc_iHfNqpFvr0e0cC-aq7jtfA_35_0"/>
      <w:bookmarkStart w:id="98" w:name="Tc_4URrLsQDfUKUglct4lgZEA_34_0"/>
      <w:bookmarkStart w:id="99" w:name="_7c1824a3_a308_4bc2_a08f_362984e3bc19_3"/>
      <w:bookmarkStart w:id="100" w:name="_7c1824a3_a308_4bc2_a08f_362984e3bc19_2"/>
      <w:bookmarkStart w:id="101" w:name="_7c1824a3_a308_4bc2_a08f_362984e3bc19"/>
      <w:bookmarkStart w:id="102" w:name="Tc_Qp7O8_XkSEeOVkZG6Z0vig_33_0"/>
      <w:bookmarkStart w:id="103" w:name="Tc_eHVKJGRxvkW0RAEZOsVvsw_32_0"/>
      <w:bookmarkStart w:id="104" w:name="Tc_6sOIEok5iUmYC3ckAz2MHA_30_0"/>
      <w:bookmarkStart w:id="105" w:name="Tc_jLCDku8QcEabOx6sUneD5Q_28_0"/>
      <w:bookmarkStart w:id="106" w:name="Tc_O6f6otG2wEqA9xvyz8cu_Q_27_0"/>
      <w:bookmarkStart w:id="107" w:name="Tc_ySQFm3Lsg0KTY7bc7ZOEmA_26_0"/>
      <w:bookmarkStart w:id="108" w:name="Tc_FW0Bui4mPkio5d69n96_Ew_25_0"/>
      <w:bookmarkStart w:id="109" w:name="Tc_bKK0_jPjr0Sr5Q3Fm07d-A_23_0"/>
      <w:bookmarkStart w:id="110" w:name="Tc_gIJ_itxdnE-5oOlkEZ_ELw_22_0"/>
      <w:bookmarkStart w:id="111" w:name="Tc_4eWqZDkxH02LJl1UNAV4CQ_21_0"/>
      <w:bookmarkStart w:id="112" w:name="Tc_f6Wbevqm10KBdGUqpfraTg_20_5"/>
      <w:bookmarkStart w:id="113" w:name="Tc_7mKBSpCmyE2JUYmrR0P_2g_20_2"/>
      <w:bookmarkStart w:id="114" w:name="Tc_d7Jdjbt9H0W3_nkPmuauGQ_20_0"/>
      <w:bookmarkStart w:id="115" w:name="Tc_x_YCVgsY-EOXmVX0X_gmkA_19_0"/>
      <w:bookmarkStart w:id="116" w:name="Tc_po3Kp9Y1iUiqBngl704plw_18_0"/>
      <w:bookmarkStart w:id="117" w:name="Tc_S0BsRO2l4Ua0JREZ7pcIXA_16_5"/>
      <w:bookmarkStart w:id="118" w:name="Tc_qIsMtgVeUEecKjrVQiTNNA_16_2"/>
      <w:bookmarkStart w:id="119" w:name="Tc_bITUGDyybEqcDNt7Lu2iIA_16_0"/>
      <w:bookmarkStart w:id="120" w:name="Tc_3lE9gYgQ7kyPv77CuY7UFQ_15_0"/>
      <w:bookmarkStart w:id="121" w:name="Tc_-_atu9u870SqF-4oj0xC4A_14_0"/>
      <w:bookmarkStart w:id="122" w:name="Tc_TTnzUsYYIUKaa1jYSsnsGg_13_0"/>
      <w:bookmarkStart w:id="123" w:name="Tc_R1e0kJZiP0akmMeqPiVqTw_12_0"/>
      <w:bookmarkStart w:id="124" w:name="Tc_0NQrsxpENkWQlrqIP9UIsw_10_0"/>
      <w:bookmarkStart w:id="125" w:name="Tc_zsWfKSHlGUyLPBCf6QxkEQ_9_0"/>
      <w:bookmarkStart w:id="126" w:name="Tc_bgreSqqeBkW-djB2Kwi8Sw_8_0"/>
      <w:bookmarkStart w:id="127" w:name="Tc_gKYDJ2sSK0qruCv08emkuw_7_0"/>
      <w:bookmarkStart w:id="128" w:name="Tc_Htkz2Pp-EU2kEpnJA8OpZQ_6_0"/>
      <w:bookmarkStart w:id="129" w:name="Tc_F3P1W1CTpk63i6s10aBVYA_5_5"/>
      <w:bookmarkStart w:id="130" w:name="Tc_zK3IzpyXJku2uAsK9R5SPg_5_2"/>
      <w:bookmarkStart w:id="131" w:name="Tc_bfP8HN8PmEix206xvWgjLQ_5_0"/>
      <w:bookmarkStart w:id="132" w:name="Tc_fdN96KcIBU2nIXw77WhoHQ_4_0"/>
      <w:bookmarkStart w:id="133" w:name="Tc_oGR8UjkS9ke9HnBbX2so_g_3_0"/>
      <w:bookmarkStart w:id="134" w:name="Tc_xiCOuOQ2JU2apASsg2fcsw_1_5"/>
      <w:bookmarkStart w:id="135" w:name="Tc_OiiBtnd5C0Oe7aZlZuJuRg_1_2"/>
      <w:bookmarkStart w:id="136" w:name="_7c8016d0_64b2_421c_ba61_e2508082c7ee"/>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6997"/>
        <w:gridCol w:w="146"/>
        <w:gridCol w:w="252"/>
        <w:gridCol w:w="1009"/>
        <w:gridCol w:w="146"/>
        <w:gridCol w:w="301"/>
        <w:gridCol w:w="1200"/>
        <w:gridCol w:w="154"/>
      </w:tblGrid>
      <w:tr>
        <w:trPr/>
        <w:tc>
          <w:tcPr>
            <w:tcW w:w="6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43095" cy="175260"/>
                      <wp:effectExtent l="0" t="0" r="0" b="0"/>
                      <wp:wrapNone/>
                      <wp:docPr id="3" name="Frame3"/>
                      <a:graphic xmlns:a="http://schemas.openxmlformats.org/drawingml/2006/main">
                        <a:graphicData uri="http://schemas.microsoft.com/office/word/2010/wordprocessingShape">
                          <wps:wsp>
                            <wps:cNvSpPr txBox="1"/>
                            <wps:spPr>
                              <a:xfrm>
                                <a:off x="0" y="0"/>
                                <a:ext cx="4443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175260"/>
                      <wp:effectExtent l="0" t="0" r="0" b="0"/>
                      <wp:wrapNone/>
                      <wp:docPr id="4" name="Frame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0020" cy="175260"/>
                      <wp:effectExtent l="0" t="0" r="0" b="0"/>
                      <wp:wrapNone/>
                      <wp:docPr id="5" name="Frame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0715" cy="175260"/>
                      <wp:effectExtent l="0" t="0" r="0" b="0"/>
                      <wp:wrapNone/>
                      <wp:docPr id="6" name="Frame6"/>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7" name="Frame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1135" cy="175260"/>
                      <wp:effectExtent l="0" t="0" r="0" b="0"/>
                      <wp:wrapNone/>
                      <wp:docPr id="8" name="Frame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62000" cy="175260"/>
                      <wp:effectExtent l="0" t="0" r="0" b="0"/>
                      <wp:wrapNone/>
                      <wp:docPr id="9" name="Frame9"/>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9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40,179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18,762</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66,880</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67,043</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accounts receivable, net </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71,822</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6,281</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4,635</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liability-current</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00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9,586</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left"/>
              <w:rPr/>
            </w:pPr>
            <w:r>
              <w:rPr/>
              <w:t> </w:t>
            </w:r>
          </w:p>
        </w:tc>
        <w:tc>
          <w:tcPr>
            <w:tcW w:w="120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100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100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34,147</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35,079</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unlimited shares authorized; 34,541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(2025 - 34,163)</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191,229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189,906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74,424</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73,745</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(229,221)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(229,422)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54" w:type="dxa"/>
            <w:tcBorders/>
            <w:vAlign w:val="center"/>
          </w:tcPr>
          <w:p>
            <w:pPr>
              <w:pStyle w:val="TableContents"/>
              <w:bidi w:val="0"/>
              <w:spacing w:before="0" w:after="1"/>
              <w:ind w:left="0" w:right="0" w:hanging="0"/>
              <w:jc w:val="left"/>
              <w:rPr/>
            </w:pPr>
            <w:r>
              <w:rPr/>
              <w:t>​</w:t>
            </w:r>
          </w:p>
        </w:tc>
      </w:tr>
      <w:tr>
        <w:trPr/>
        <w:tc>
          <w:tcPr>
            <w:tcW w:w="69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37,675</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69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71,822</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70,551</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7" w:name="_4dbfb0b5_a9ec_4cad_be49_e26fc0f7c3ac"/>
      <w:bookmarkEnd w:id="137"/>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138" w:name="CondensedConsolidatedStatementsofOperati"/>
      <w:bookmarkEnd w:id="138"/>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9" w:name="Tc_9oc7DTJGCk-tC1gCtn4FQQ_30_0"/>
      <w:bookmarkStart w:id="140" w:name="Tc_Amo4P9OmF0iUe_jd8-ZWuw_29_0"/>
      <w:bookmarkStart w:id="141" w:name="Tc_3QO7ueHsX06T-ZYgH9qxlw_28_5"/>
      <w:bookmarkStart w:id="142" w:name="Tc_s8fYl908xU2pBLswTJZykg_28_2"/>
      <w:bookmarkStart w:id="143" w:name="Tc_OHx2ob5rAEKJzoeRCUr06A_28_0"/>
      <w:bookmarkStart w:id="144" w:name="Tc_gxZck-VSQkysGN1X_hrjXw_27_5"/>
      <w:bookmarkStart w:id="145" w:name="Tc_d19zGo5pB0OUF6bvRCB0Vw_27_2"/>
      <w:bookmarkStart w:id="146" w:name="Tc_MqEaMbrCt0-ZLegc_8744Q_27_0"/>
      <w:bookmarkStart w:id="147" w:name="Tc_KCDAyBvwVkm6fk74xK4kjg_25_5"/>
      <w:bookmarkStart w:id="148" w:name="Tc_jG1kXacDZ0Sh5wf0pa0TZg_25_2"/>
      <w:bookmarkStart w:id="149" w:name="Tc_vfR5pumQTk6mG_s2PZUTyg_25_0"/>
      <w:bookmarkStart w:id="150" w:name="Tc_hgKO0efz2Ei8aOkJXui4BQ_23_0"/>
      <w:bookmarkStart w:id="151" w:name="Tc_F7ORI7eqZkKjSWe4hyj0uw_22_0"/>
      <w:bookmarkStart w:id="152" w:name="Tc_eWG0XLCzwU2boXvDBSiY1A_21_0"/>
      <w:bookmarkStart w:id="153" w:name="Tc_cO39jCigbEiqQauJ3fY6QA_20_3"/>
      <w:bookmarkStart w:id="154" w:name="Tc__uhpXRSbtUGAqJN3Dsiuow_20_0"/>
      <w:bookmarkStart w:id="155" w:name="Tc_qJMBtQW28kyTPbvCiekELg_19_3"/>
      <w:bookmarkStart w:id="156" w:name="Tc_fmWDEEV7J0-KcR71SIOaZw_19_0"/>
      <w:bookmarkStart w:id="157" w:name="Tc_HMuhnuAXMEid2Nv2apBKGw_18_0"/>
      <w:bookmarkStart w:id="158" w:name="Tc_jMhFmALPm0uKWk6XZCpOzw_17_0"/>
      <w:bookmarkStart w:id="159" w:name="Tc_k1InG7ZhNUWc6NtMMp4-5w_15_0"/>
      <w:bookmarkStart w:id="160" w:name="Tc_QHA-ItIUtkWyb5mI6BfFEQ_14_0"/>
      <w:bookmarkStart w:id="161" w:name="Tc_8o0UDc0q5kCMAPtzRuIGFw_12_0"/>
      <w:bookmarkStart w:id="162" w:name="Tc_u0KNgPjNAkmYiWQmYKKo6g_11_0"/>
      <w:bookmarkStart w:id="163" w:name="Tc_m18AnwtK4U6SzHiXQ4Eflw_10_0"/>
      <w:bookmarkStart w:id="164" w:name="Tc_gRGQ5Mh2VEWc4caz3NOv6w_9_0"/>
      <w:bookmarkStart w:id="165" w:name="Tc_G8ut280B0E6D6y_NmoC7Lw_8_0"/>
      <w:bookmarkStart w:id="166" w:name="Tc_2z7EAjQ5rEeFcEYY4861DQ_6_5"/>
      <w:bookmarkStart w:id="167" w:name="Tc_885CBO2X0EGqYVuRCxpblw_6_2"/>
      <w:bookmarkStart w:id="168" w:name="Tc_HPRMV24FOE28zhTcIVunxQ_6_0"/>
      <w:bookmarkStart w:id="169" w:name="Tc_SDJA7efInkWvjcUVc8Z6Cg_5_0"/>
      <w:bookmarkStart w:id="170" w:name="Tc_psotaYeM9UeKI54Y2cjOxA_3_5"/>
      <w:bookmarkStart w:id="171" w:name="Tc_I70pEN30O0-XtYVqJat1Rg_3_2"/>
      <w:bookmarkStart w:id="172" w:name="Tc_XcwJyRFAaEqQhw3RXqZRvA_2_5"/>
      <w:bookmarkStart w:id="173" w:name="Tc_Ipyd9B9qR0yjM2dsUf4n2g_2_2"/>
      <w:bookmarkStart w:id="174" w:name="Tc_oj63StcjWUyemHm7x_9rCg_1_2"/>
      <w:bookmarkStart w:id="175" w:name="_c3ab51a5_c722_4f2e_ae44_a537426deecb"/>
      <w:bookmarkStart w:id="176" w:name="Tc_9oc7DTJGCk-tC1gCtn4FQQ_30_0"/>
      <w:bookmarkStart w:id="177" w:name="Tc_Amo4P9OmF0iUe_jd8-ZWuw_29_0"/>
      <w:bookmarkStart w:id="178" w:name="Tc_3QO7ueHsX06T-ZYgH9qxlw_28_5"/>
      <w:bookmarkStart w:id="179" w:name="Tc_s8fYl908xU2pBLswTJZykg_28_2"/>
      <w:bookmarkStart w:id="180" w:name="Tc_OHx2ob5rAEKJzoeRCUr06A_28_0"/>
      <w:bookmarkStart w:id="181" w:name="Tc_gxZck-VSQkysGN1X_hrjXw_27_5"/>
      <w:bookmarkStart w:id="182" w:name="Tc_d19zGo5pB0OUF6bvRCB0Vw_27_2"/>
      <w:bookmarkStart w:id="183" w:name="Tc_MqEaMbrCt0-ZLegc_8744Q_27_0"/>
      <w:bookmarkStart w:id="184" w:name="Tc_KCDAyBvwVkm6fk74xK4kjg_25_5"/>
      <w:bookmarkStart w:id="185" w:name="Tc_jG1kXacDZ0Sh5wf0pa0TZg_25_2"/>
      <w:bookmarkStart w:id="186" w:name="Tc_vfR5pumQTk6mG_s2PZUTyg_25_0"/>
      <w:bookmarkStart w:id="187" w:name="Tc_hgKO0efz2Ei8aOkJXui4BQ_23_0"/>
      <w:bookmarkStart w:id="188" w:name="Tc_F7ORI7eqZkKjSWe4hyj0uw_22_0"/>
      <w:bookmarkStart w:id="189" w:name="Tc_eWG0XLCzwU2boXvDBSiY1A_21_0"/>
      <w:bookmarkStart w:id="190" w:name="Tc_cO39jCigbEiqQauJ3fY6QA_20_3"/>
      <w:bookmarkStart w:id="191" w:name="Tc__uhpXRSbtUGAqJN3Dsiuow_20_0"/>
      <w:bookmarkStart w:id="192" w:name="Tc_qJMBtQW28kyTPbvCiekELg_19_3"/>
      <w:bookmarkStart w:id="193" w:name="Tc_fmWDEEV7J0-KcR71SIOaZw_19_0"/>
      <w:bookmarkStart w:id="194" w:name="Tc_HMuhnuAXMEid2Nv2apBKGw_18_0"/>
      <w:bookmarkStart w:id="195" w:name="Tc_jMhFmALPm0uKWk6XZCpOzw_17_0"/>
      <w:bookmarkStart w:id="196" w:name="Tc_k1InG7ZhNUWc6NtMMp4-5w_15_0"/>
      <w:bookmarkStart w:id="197" w:name="Tc_QHA-ItIUtkWyb5mI6BfFEQ_14_0"/>
      <w:bookmarkStart w:id="198" w:name="Tc_8o0UDc0q5kCMAPtzRuIGFw_12_0"/>
      <w:bookmarkStart w:id="199" w:name="Tc_u0KNgPjNAkmYiWQmYKKo6g_11_0"/>
      <w:bookmarkStart w:id="200" w:name="Tc_m18AnwtK4U6SzHiXQ4Eflw_10_0"/>
      <w:bookmarkStart w:id="201" w:name="Tc_gRGQ5Mh2VEWc4caz3NOv6w_9_0"/>
      <w:bookmarkStart w:id="202" w:name="Tc_G8ut280B0E6D6y_NmoC7Lw_8_0"/>
      <w:bookmarkStart w:id="203" w:name="Tc_2z7EAjQ5rEeFcEYY4861DQ_6_5"/>
      <w:bookmarkStart w:id="204" w:name="Tc_885CBO2X0EGqYVuRCxpblw_6_2"/>
      <w:bookmarkStart w:id="205" w:name="Tc_HPRMV24FOE28zhTcIVunxQ_6_0"/>
      <w:bookmarkStart w:id="206" w:name="Tc_SDJA7efInkWvjcUVc8Z6Cg_5_0"/>
      <w:bookmarkStart w:id="207" w:name="Tc_psotaYeM9UeKI54Y2cjOxA_3_5"/>
      <w:bookmarkStart w:id="208" w:name="Tc_I70pEN30O0-XtYVqJat1Rg_3_2"/>
      <w:bookmarkStart w:id="209" w:name="Tc_XcwJyRFAaEqQhw3RXqZRvA_2_5"/>
      <w:bookmarkStart w:id="210" w:name="Tc_Ipyd9B9qR0yjM2dsUf4n2g_2_2"/>
      <w:bookmarkStart w:id="211" w:name="Tc_oj63StcjWUyemHm7x_9rCg_1_2"/>
      <w:bookmarkStart w:id="212" w:name="_c3ab51a5_c722_4f2e_ae44_a537426deecb"/>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8556" w:type="dxa"/>
        <w:jc w:val="left"/>
        <w:tblInd w:w="0" w:type="dxa"/>
        <w:tblLayout w:type="fixed"/>
        <w:tblCellMar>
          <w:top w:w="0" w:type="dxa"/>
          <w:left w:w="0" w:type="dxa"/>
          <w:bottom w:w="0" w:type="dxa"/>
          <w:right w:w="0" w:type="dxa"/>
        </w:tblCellMar>
      </w:tblPr>
      <w:tblGrid>
        <w:gridCol w:w="5671"/>
        <w:gridCol w:w="346"/>
        <w:gridCol w:w="214"/>
        <w:gridCol w:w="686"/>
        <w:gridCol w:w="346"/>
        <w:gridCol w:w="211"/>
        <w:gridCol w:w="691"/>
        <w:gridCol w:w="3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601085" cy="175260"/>
                      <wp:effectExtent l="0" t="0" r="0" b="0"/>
                      <wp:wrapNone/>
                      <wp:docPr id="11" name="Frame11"/>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5610" cy="175260"/>
                      <wp:effectExtent l="0" t="0" r="0" b="0"/>
                      <wp:wrapNone/>
                      <wp:docPr id="14" name="Frame1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8785" cy="175260"/>
                      <wp:effectExtent l="0" t="0" r="0" b="0"/>
                      <wp:wrapNone/>
                      <wp:docPr id="17" name="Frame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8285" cy="175260"/>
                      <wp:effectExtent l="0" t="0" r="0" b="0"/>
                      <wp:wrapNone/>
                      <wp:docPr id="18" name="Frame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8,751</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5,865</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9,559</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net income/(loss)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net income/(loss) per common share</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vAlign w:val="center"/>
          </w:tcPr>
          <w:p>
            <w:pPr>
              <w:pStyle w:val="TableContents"/>
              <w:bidi w:val="0"/>
              <w:spacing w:before="0" w:after="1"/>
              <w:ind w:left="0" w:right="0" w:hanging="0"/>
              <w:jc w:val="left"/>
              <w:rPr/>
            </w:pPr>
            <w:r>
              <w:rPr/>
              <w:t>​</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13" w:name="_5ef2d0cf_bd51_4605_b106_42439a4e6fc8"/>
      <w:bookmarkEnd w:id="213"/>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sz w:val="20"/>
        </w:rPr>
      </w:pPr>
      <w:bookmarkStart w:id="214" w:name="CondensedConsolidatedStatementsofStockho"/>
      <w:bookmarkEnd w:id="214"/>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5" w:name="Tc_t0Oq7i6H20Khg5pREer7oQ_22_16"/>
      <w:bookmarkStart w:id="216" w:name="Tc_-g1Uz3oEaEOYNg8rY869yQ_22_13"/>
      <w:bookmarkStart w:id="217" w:name="Tc_HLSJ-Hw0iUKuplzcJkJasg_22_10"/>
      <w:bookmarkStart w:id="218" w:name="Tc_iWvBmUN6MEWw95U0eZ_TlA_22_7"/>
      <w:bookmarkStart w:id="219" w:name="Tc_xAcLBvx8GEOP6Vp08n2D5Q_22_4"/>
      <w:bookmarkStart w:id="220" w:name="Tc_seznIpyv5UyQLNfWATIhMg_22_0"/>
      <w:bookmarkStart w:id="221" w:name="Tc_EIs5zSstM0itbxdbAfhQZA_21_14"/>
      <w:bookmarkStart w:id="222" w:name="Tc_wh-RHHENf0GAKvqc1l6QXA_21_8"/>
      <w:bookmarkStart w:id="223" w:name="Tc_2Oh4QEQs5kms6l9e37kJmQ_21_5"/>
      <w:bookmarkStart w:id="224" w:name="Tc_B92_9qFY2EiGvigPJMj9EQ_21_2"/>
      <w:bookmarkStart w:id="225" w:name="Tc_yq8otxA5gEizwfCRdQw_yQ_21_0"/>
      <w:bookmarkStart w:id="226" w:name="Tc_Fxi06DlNNkelYpGJ7AbRdw_20_14"/>
      <w:bookmarkStart w:id="227" w:name="Tc_X6PRjnPZs02ddisZzC3ZBw_20_11"/>
      <w:bookmarkStart w:id="228" w:name="Tc_-1PT1N0kdUiOUNV87hae_w_20_5"/>
      <w:bookmarkStart w:id="229" w:name="Tc_seoJqnsaKkixE8RJHSiGpw_20_0"/>
      <w:bookmarkStart w:id="230" w:name="Tc_iSmZ-916DEO161WYjfE3Mw_19_14"/>
      <w:bookmarkStart w:id="231" w:name="Tc_zZf5a6lhaUGH8TgcKhrhNA_19_11"/>
      <w:bookmarkStart w:id="232" w:name="Tc_YrEAB1kQJkaseQwuQz-Jkw_19_8"/>
      <w:bookmarkStart w:id="233" w:name="Tc_zq2gDJ_OakmPJABjiD_lhw_19_0"/>
      <w:bookmarkStart w:id="234" w:name="Tc_DMoPQiofqEiVIkeqpiUl1A_18_0"/>
      <w:bookmarkStart w:id="235" w:name="Tc_a_amhKMtD0mBLKCsb7wE_A_17_16"/>
      <w:bookmarkStart w:id="236" w:name="Tc_aZatOZ277UKlxLy1r89Wuw_17_13"/>
      <w:bookmarkStart w:id="237" w:name="Tc_pcBHe-60UU63S62iuLLWAg_17_10"/>
      <w:bookmarkStart w:id="238" w:name="Tc_B2CFebmrqECipUnsdL5rqQ_17_7"/>
      <w:bookmarkStart w:id="239" w:name="Tc_XpkSOQ9VuE-o_ZYIELfgzg_17_4"/>
      <w:bookmarkStart w:id="240" w:name="Tc_SNp7QPn_HEeyht_zZlQYaQ_17_0"/>
      <w:bookmarkStart w:id="241" w:name="Tc_o_jluYqri0SbFuTYCnOXoA_16_16"/>
      <w:bookmarkStart w:id="242" w:name="Tc_8dcgvYEwPkWOsOxjJ12JiA_16_13"/>
      <w:bookmarkStart w:id="243" w:name="Tc_s0HWd_7VDkeizgqQeqf4DA_16_10"/>
      <w:bookmarkStart w:id="244" w:name="Tc_Squn2p84fEKtP7lH-h9Rwg_16_7"/>
      <w:bookmarkStart w:id="245" w:name="Tc_rjdV1oudyECZGId59kcA4Q_16_4"/>
      <w:bookmarkStart w:id="246" w:name="Tc_BaUaujlOx0e4gy1O-dlGnw_16_2"/>
      <w:bookmarkStart w:id="247" w:name="Tc_PT0n6PK7EEyJhvyiME4S1Q_15_16"/>
      <w:bookmarkStart w:id="248" w:name="Tc_3tl60eH6_Ey2VnvAltVC_Q_15_13"/>
      <w:bookmarkStart w:id="249" w:name="Tc_vuRlyOPPwUmisYGAw8dI-A_15_10"/>
      <w:bookmarkStart w:id="250" w:name="Tc_C9uL3YBsf0qeROCD8mW6mw_15_7"/>
      <w:bookmarkStart w:id="251" w:name="Tc_fVyHuOYrnEW3mz5M8lAUCw_15_2"/>
      <w:bookmarkStart w:id="252" w:name="Tc_tjM5YA5z50WapUetbt1EYQ_14_16"/>
      <w:bookmarkStart w:id="253" w:name="Tc_EzhaaeHyjEOoC0i-fakCdQ_14_13"/>
      <w:bookmarkStart w:id="254" w:name="Tc_KYstkJ7rT06wyq2tLAqclg_14_7"/>
      <w:bookmarkStart w:id="255" w:name="Tc_ADq0OsGV80GOiJL5Ilmw2A_13_13"/>
      <w:bookmarkStart w:id="256" w:name="Tc_kEBpl51QAkeVlx5URr3JVA_11_16"/>
      <w:bookmarkStart w:id="257" w:name="Tc_hp3HN8PV1U6ld3_IxHhh8Q_11_13"/>
      <w:bookmarkStart w:id="258" w:name="Tc_l7Sx4ypggEq1qTsvqAt0ww_11_10"/>
      <w:bookmarkStart w:id="259" w:name="Tc_a9H9s0-kVki_3ew6ujDYTA_11_7"/>
      <w:bookmarkStart w:id="260" w:name="Tc_DyVfye7c_EG-RobrAOGVLg_11_4"/>
      <w:bookmarkStart w:id="261" w:name="Tc_vKgaGtt1pkCLN3OY1LbudA_11_0"/>
      <w:bookmarkStart w:id="262" w:name="Tc_Lm4aCbWkLUub-ifFaaen4w_10_14"/>
      <w:bookmarkStart w:id="263" w:name="Tc_0ix8L6Q-AkWZTg4dsY7C4Q_10_8"/>
      <w:bookmarkStart w:id="264" w:name="Tc_rOaEsMk6WUCtb71sVtss4A_10_5"/>
      <w:bookmarkStart w:id="265" w:name="Tc_-39Oz_wHl0-BSDcALnVpuA_10_2"/>
      <w:bookmarkStart w:id="266" w:name="Tc_2qwbCV-1pE2RKPTNX4hEhQ_10_0"/>
      <w:bookmarkStart w:id="267" w:name="Tc_ig3sKuW7fEq5My_2IpGDuA_9_14"/>
      <w:bookmarkStart w:id="268" w:name="Tc_Sox0AZ7epUGDKl0QPZnnMA_9_11"/>
      <w:bookmarkStart w:id="269" w:name="Tc_WlYIE_WkEEyg5F0e2uoBBA_9_5"/>
      <w:bookmarkStart w:id="270" w:name="Tc_C42G0_1zC02dUSjUJm2wlA_9_0"/>
      <w:bookmarkStart w:id="271" w:name="Tc_oqAF9i9jfU-PtpreV1Bhcw_8_14"/>
      <w:bookmarkStart w:id="272" w:name="Tc_hU3QYasDmEuDAqF-ken8Fg_8_11"/>
      <w:bookmarkStart w:id="273" w:name="Tc_Jf8rqvklnUiNyUq-KgcenQ_8_8"/>
      <w:bookmarkStart w:id="274" w:name="Tc_k01LPKq8o0WSd92Y27pVcg_8_0"/>
      <w:bookmarkStart w:id="275" w:name="Tc_ERKGeFihRkCI6uBZLhKKcg_7_0"/>
      <w:bookmarkStart w:id="276" w:name="Tc_zjkMcfrIFEmQaNv24_6tyQ_6_16"/>
      <w:bookmarkStart w:id="277" w:name="Tc_7enmxCxGUEOHqpBEk-dQ5Q_6_13"/>
      <w:bookmarkStart w:id="278" w:name="Tc_j1k6VXIYHk-iJWgifDx88g_6_10"/>
      <w:bookmarkStart w:id="279" w:name="Tc_MkhMsxVh5k-vqKT8GkgliA_6_7"/>
      <w:bookmarkStart w:id="280" w:name="Tc_z_O_mtP9_UWxDFJcrpM2gg_6_4"/>
      <w:bookmarkStart w:id="281" w:name="Tc_xtI5Dj7dSkylR-xnVBT5Hg_6_0"/>
      <w:bookmarkStart w:id="282" w:name="Tc_C6Mh2QFwAk6aky_amSpEew_4_16"/>
      <w:bookmarkStart w:id="283" w:name="Tc_PGb9xcxacEGEhFS1Lu3t7Q_4_13"/>
      <w:bookmarkStart w:id="284" w:name="Tc_0pr2d-1oskybhWWzQv4ifA_4_10"/>
      <w:bookmarkStart w:id="285" w:name="Tc_4Ds6gHBfxUO81Iq1j_fuBQ_4_7"/>
      <w:bookmarkStart w:id="286" w:name="Tc__HETAZ8ZmEWKCmEejMV34Q_4_4"/>
      <w:bookmarkStart w:id="287" w:name="Tc_Qk-sQM8KAka9xbYom2hX0w_4_2"/>
      <w:bookmarkStart w:id="288" w:name="Tc_VnvFg1qL80-RIxLHuSte3w_3_16"/>
      <w:bookmarkStart w:id="289" w:name="Tc_Y2yTLzSeH0G4yxR9hIagGQ_3_13"/>
      <w:bookmarkStart w:id="290" w:name="Tc_foyNV3IKBUuD9WdcZMBqEg_3_10"/>
      <w:bookmarkStart w:id="291" w:name="Tc_8HJKXGnYDUG_-B76SJD-oA_3_7"/>
      <w:bookmarkStart w:id="292" w:name="Tc_JMYWILGn90a-iavNdX17ag_3_2"/>
      <w:bookmarkStart w:id="293" w:name="Tc_kmgrd9MPOEGoZNXFFgle5w_2_16"/>
      <w:bookmarkStart w:id="294" w:name="Tc_Yw5h8yzNPkakwZ7oGEYwUQ_2_13"/>
      <w:bookmarkStart w:id="295" w:name="Tc__BI61shmtUuophXjLoETDw_2_7"/>
      <w:bookmarkStart w:id="296" w:name="Tc_HD0G9aVLdEuDiRzH0APhIw_1_13"/>
      <w:bookmarkStart w:id="297" w:name="_85b6822f_e354_4bc6_a0a4_a903f0d4b622"/>
      <w:bookmarkStart w:id="298" w:name="Tc_t0Oq7i6H20Khg5pREer7oQ_22_16"/>
      <w:bookmarkStart w:id="299" w:name="Tc_-g1Uz3oEaEOYNg8rY869yQ_22_13"/>
      <w:bookmarkStart w:id="300" w:name="Tc_HLSJ-Hw0iUKuplzcJkJasg_22_10"/>
      <w:bookmarkStart w:id="301" w:name="Tc_iWvBmUN6MEWw95U0eZ_TlA_22_7"/>
      <w:bookmarkStart w:id="302" w:name="Tc_xAcLBvx8GEOP6Vp08n2D5Q_22_4"/>
      <w:bookmarkStart w:id="303" w:name="Tc_seznIpyv5UyQLNfWATIhMg_22_0"/>
      <w:bookmarkStart w:id="304" w:name="Tc_EIs5zSstM0itbxdbAfhQZA_21_14"/>
      <w:bookmarkStart w:id="305" w:name="Tc_wh-RHHENf0GAKvqc1l6QXA_21_8"/>
      <w:bookmarkStart w:id="306" w:name="Tc_2Oh4QEQs5kms6l9e37kJmQ_21_5"/>
      <w:bookmarkStart w:id="307" w:name="Tc_B92_9qFY2EiGvigPJMj9EQ_21_2"/>
      <w:bookmarkStart w:id="308" w:name="Tc_yq8otxA5gEizwfCRdQw_yQ_21_0"/>
      <w:bookmarkStart w:id="309" w:name="Tc_Fxi06DlNNkelYpGJ7AbRdw_20_14"/>
      <w:bookmarkStart w:id="310" w:name="Tc_X6PRjnPZs02ddisZzC3ZBw_20_11"/>
      <w:bookmarkStart w:id="311" w:name="Tc_-1PT1N0kdUiOUNV87hae_w_20_5"/>
      <w:bookmarkStart w:id="312" w:name="Tc_seoJqnsaKkixE8RJHSiGpw_20_0"/>
      <w:bookmarkStart w:id="313" w:name="Tc_iSmZ-916DEO161WYjfE3Mw_19_14"/>
      <w:bookmarkStart w:id="314" w:name="Tc_zZf5a6lhaUGH8TgcKhrhNA_19_11"/>
      <w:bookmarkStart w:id="315" w:name="Tc_YrEAB1kQJkaseQwuQz-Jkw_19_8"/>
      <w:bookmarkStart w:id="316" w:name="Tc_zq2gDJ_OakmPJABjiD_lhw_19_0"/>
      <w:bookmarkStart w:id="317" w:name="Tc_DMoPQiofqEiVIkeqpiUl1A_18_0"/>
      <w:bookmarkStart w:id="318" w:name="Tc_a_amhKMtD0mBLKCsb7wE_A_17_16"/>
      <w:bookmarkStart w:id="319" w:name="Tc_aZatOZ277UKlxLy1r89Wuw_17_13"/>
      <w:bookmarkStart w:id="320" w:name="Tc_pcBHe-60UU63S62iuLLWAg_17_10"/>
      <w:bookmarkStart w:id="321" w:name="Tc_B2CFebmrqECipUnsdL5rqQ_17_7"/>
      <w:bookmarkStart w:id="322" w:name="Tc_XpkSOQ9VuE-o_ZYIELfgzg_17_4"/>
      <w:bookmarkStart w:id="323" w:name="Tc_SNp7QPn_HEeyht_zZlQYaQ_17_0"/>
      <w:bookmarkStart w:id="324" w:name="Tc_o_jluYqri0SbFuTYCnOXoA_16_16"/>
      <w:bookmarkStart w:id="325" w:name="Tc_8dcgvYEwPkWOsOxjJ12JiA_16_13"/>
      <w:bookmarkStart w:id="326" w:name="Tc_s0HWd_7VDkeizgqQeqf4DA_16_10"/>
      <w:bookmarkStart w:id="327" w:name="Tc_Squn2p84fEKtP7lH-h9Rwg_16_7"/>
      <w:bookmarkStart w:id="328" w:name="Tc_rjdV1oudyECZGId59kcA4Q_16_4"/>
      <w:bookmarkStart w:id="329" w:name="Tc_BaUaujlOx0e4gy1O-dlGnw_16_2"/>
      <w:bookmarkStart w:id="330" w:name="Tc_PT0n6PK7EEyJhvyiME4S1Q_15_16"/>
      <w:bookmarkStart w:id="331" w:name="Tc_3tl60eH6_Ey2VnvAltVC_Q_15_13"/>
      <w:bookmarkStart w:id="332" w:name="Tc_vuRlyOPPwUmisYGAw8dI-A_15_10"/>
      <w:bookmarkStart w:id="333" w:name="Tc_C9uL3YBsf0qeROCD8mW6mw_15_7"/>
      <w:bookmarkStart w:id="334" w:name="Tc_fVyHuOYrnEW3mz5M8lAUCw_15_2"/>
      <w:bookmarkStart w:id="335" w:name="Tc_tjM5YA5z50WapUetbt1EYQ_14_16"/>
      <w:bookmarkStart w:id="336" w:name="Tc_EzhaaeHyjEOoC0i-fakCdQ_14_13"/>
      <w:bookmarkStart w:id="337" w:name="Tc_KYstkJ7rT06wyq2tLAqclg_14_7"/>
      <w:bookmarkStart w:id="338" w:name="Tc_ADq0OsGV80GOiJL5Ilmw2A_13_13"/>
      <w:bookmarkStart w:id="339" w:name="Tc_kEBpl51QAkeVlx5URr3JVA_11_16"/>
      <w:bookmarkStart w:id="340" w:name="Tc_hp3HN8PV1U6ld3_IxHhh8Q_11_13"/>
      <w:bookmarkStart w:id="341" w:name="Tc_l7Sx4ypggEq1qTsvqAt0ww_11_10"/>
      <w:bookmarkStart w:id="342" w:name="Tc_a9H9s0-kVki_3ew6ujDYTA_11_7"/>
      <w:bookmarkStart w:id="343" w:name="Tc_DyVfye7c_EG-RobrAOGVLg_11_4"/>
      <w:bookmarkStart w:id="344" w:name="Tc_vKgaGtt1pkCLN3OY1LbudA_11_0"/>
      <w:bookmarkStart w:id="345" w:name="Tc_Lm4aCbWkLUub-ifFaaen4w_10_14"/>
      <w:bookmarkStart w:id="346" w:name="Tc_0ix8L6Q-AkWZTg4dsY7C4Q_10_8"/>
      <w:bookmarkStart w:id="347" w:name="Tc_rOaEsMk6WUCtb71sVtss4A_10_5"/>
      <w:bookmarkStart w:id="348" w:name="Tc_-39Oz_wHl0-BSDcALnVpuA_10_2"/>
      <w:bookmarkStart w:id="349" w:name="Tc_2qwbCV-1pE2RKPTNX4hEhQ_10_0"/>
      <w:bookmarkStart w:id="350" w:name="Tc_ig3sKuW7fEq5My_2IpGDuA_9_14"/>
      <w:bookmarkStart w:id="351" w:name="Tc_Sox0AZ7epUGDKl0QPZnnMA_9_11"/>
      <w:bookmarkStart w:id="352" w:name="Tc_WlYIE_WkEEyg5F0e2uoBBA_9_5"/>
      <w:bookmarkStart w:id="353" w:name="Tc_C42G0_1zC02dUSjUJm2wlA_9_0"/>
      <w:bookmarkStart w:id="354" w:name="Tc_oqAF9i9jfU-PtpreV1Bhcw_8_14"/>
      <w:bookmarkStart w:id="355" w:name="Tc_hU3QYasDmEuDAqF-ken8Fg_8_11"/>
      <w:bookmarkStart w:id="356" w:name="Tc_Jf8rqvklnUiNyUq-KgcenQ_8_8"/>
      <w:bookmarkStart w:id="357" w:name="Tc_k01LPKq8o0WSd92Y27pVcg_8_0"/>
      <w:bookmarkStart w:id="358" w:name="Tc_ERKGeFihRkCI6uBZLhKKcg_7_0"/>
      <w:bookmarkStart w:id="359" w:name="Tc_zjkMcfrIFEmQaNv24_6tyQ_6_16"/>
      <w:bookmarkStart w:id="360" w:name="Tc_7enmxCxGUEOHqpBEk-dQ5Q_6_13"/>
      <w:bookmarkStart w:id="361" w:name="Tc_j1k6VXIYHk-iJWgifDx88g_6_10"/>
      <w:bookmarkStart w:id="362" w:name="Tc_MkhMsxVh5k-vqKT8GkgliA_6_7"/>
      <w:bookmarkStart w:id="363" w:name="Tc_z_O_mtP9_UWxDFJcrpM2gg_6_4"/>
      <w:bookmarkStart w:id="364" w:name="Tc_xtI5Dj7dSkylR-xnVBT5Hg_6_0"/>
      <w:bookmarkStart w:id="365" w:name="Tc_C6Mh2QFwAk6aky_amSpEew_4_16"/>
      <w:bookmarkStart w:id="366" w:name="Tc_PGb9xcxacEGEhFS1Lu3t7Q_4_13"/>
      <w:bookmarkStart w:id="367" w:name="Tc_0pr2d-1oskybhWWzQv4ifA_4_10"/>
      <w:bookmarkStart w:id="368" w:name="Tc_4Ds6gHBfxUO81Iq1j_fuBQ_4_7"/>
      <w:bookmarkStart w:id="369" w:name="Tc__HETAZ8ZmEWKCmEejMV34Q_4_4"/>
      <w:bookmarkStart w:id="370" w:name="Tc_Qk-sQM8KAka9xbYom2hX0w_4_2"/>
      <w:bookmarkStart w:id="371" w:name="Tc_VnvFg1qL80-RIxLHuSte3w_3_16"/>
      <w:bookmarkStart w:id="372" w:name="Tc_Y2yTLzSeH0G4yxR9hIagGQ_3_13"/>
      <w:bookmarkStart w:id="373" w:name="Tc_foyNV3IKBUuD9WdcZMBqEg_3_10"/>
      <w:bookmarkStart w:id="374" w:name="Tc_8HJKXGnYDUG_-B76SJD-oA_3_7"/>
      <w:bookmarkStart w:id="375" w:name="Tc_JMYWILGn90a-iavNdX17ag_3_2"/>
      <w:bookmarkStart w:id="376" w:name="Tc_kmgrd9MPOEGoZNXFFgle5w_2_16"/>
      <w:bookmarkStart w:id="377" w:name="Tc_Yw5h8yzNPkakwZ7oGEYwUQ_2_13"/>
      <w:bookmarkStart w:id="378" w:name="Tc__BI61shmtUuophXjLoETDw_2_7"/>
      <w:bookmarkStart w:id="379" w:name="Tc_HD0G9aVLdEuDiRzH0APhIw_1_13"/>
      <w:bookmarkStart w:id="380" w:name="_85b6822f_e354_4bc6_a0a4_a903f0d4b622"/>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tbl>
      <w:tblPr>
        <w:tblW w:w="10261" w:type="dxa"/>
        <w:jc w:val="left"/>
        <w:tblInd w:w="0" w:type="dxa"/>
        <w:tblLayout w:type="fixed"/>
        <w:tblCellMar>
          <w:top w:w="0" w:type="dxa"/>
          <w:left w:w="0" w:type="dxa"/>
          <w:bottom w:w="0" w:type="dxa"/>
          <w:right w:w="0" w:type="dxa"/>
        </w:tblCellMar>
      </w:tblPr>
      <w:tblGrid>
        <w:gridCol w:w="2281"/>
        <w:gridCol w:w="346"/>
        <w:gridCol w:w="676"/>
        <w:gridCol w:w="346"/>
        <w:gridCol w:w="211"/>
        <w:gridCol w:w="781"/>
        <w:gridCol w:w="346"/>
        <w:gridCol w:w="211"/>
        <w:gridCol w:w="676"/>
        <w:gridCol w:w="346"/>
        <w:gridCol w:w="211"/>
        <w:gridCol w:w="841"/>
        <w:gridCol w:w="346"/>
        <w:gridCol w:w="327"/>
        <w:gridCol w:w="889"/>
        <w:gridCol w:w="346"/>
        <w:gridCol w:w="244"/>
        <w:gridCol w:w="837"/>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48435" cy="175260"/>
                      <wp:effectExtent l="0" t="0" r="0" b="0"/>
                      <wp:wrapNone/>
                      <wp:docPr id="19" name="Frame1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4" name="Frame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7"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4035" cy="175260"/>
                      <wp:effectExtent l="0" t="0" r="0" b="0"/>
                      <wp:wrapNone/>
                      <wp:docPr id="30" name="Frame3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645" cy="175260"/>
                      <wp:effectExtent l="0" t="0" r="0" b="0"/>
                      <wp:wrapNone/>
                      <wp:docPr id="32" name="Frame3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4515" cy="175260"/>
                      <wp:effectExtent l="0" t="0" r="0" b="0"/>
                      <wp:wrapNone/>
                      <wp:docPr id="33" name="Frame3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4940" cy="175260"/>
                      <wp:effectExtent l="0" t="0" r="0" b="0"/>
                      <wp:wrapNone/>
                      <wp:docPr id="35" name="Frame35"/>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1495" cy="175260"/>
                      <wp:effectExtent l="0" t="0" r="0" b="0"/>
                      <wp:wrapNone/>
                      <wp:docPr id="36" name="Frame36"/>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244" w:type="dxa"/>
            <w:tcBorders/>
            <w:vAlign w:val="center"/>
          </w:tcPr>
          <w:p>
            <w:pPr>
              <w:pStyle w:val="TableContents"/>
              <w:bidi w:val="0"/>
              <w:spacing w:before="0" w:after="1"/>
              <w:ind w:left="0" w:right="0" w:hanging="0"/>
              <w:jc w:val="center"/>
              <w:rPr/>
            </w:pPr>
            <w:r>
              <w:rPr/>
              <w:t>​</w:t>
            </w:r>
          </w:p>
        </w:tc>
        <w:tc>
          <w:tcPr>
            <w:tcW w:w="837" w:type="dxa"/>
            <w:tcBorders/>
            <w:vAlign w:val="center"/>
          </w:tcPr>
          <w:p>
            <w:pPr>
              <w:pStyle w:val="TableContents"/>
              <w:bidi w:val="0"/>
              <w:spacing w:before="0" w:after="1"/>
              <w:ind w:left="0" w:right="0" w:hanging="0"/>
              <w:jc w:val="center"/>
              <w:rPr/>
            </w:pPr>
            <w:r>
              <w:rPr/>
              <w:t>​</w:t>
            </w:r>
          </w:p>
        </w:tc>
      </w:tr>
      <w:tr>
        <w:trPr/>
        <w:tc>
          <w:tcPr>
            <w:tcW w:w="22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(229,422)</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35,472</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 employees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and performance stock release</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34,541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191,229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(229,221)</w:t>
            </w:r>
          </w:p>
        </w:tc>
        <w:tc>
          <w:tcPr>
            <w:tcW w:w="346" w:type="dxa"/>
            <w:tcBorders/>
            <w:vAlign w:val="center"/>
          </w:tcPr>
          <w:p>
            <w:pPr>
              <w:pStyle w:val="TableContents"/>
              <w:bidi w:val="0"/>
              <w:spacing w:before="0" w:after="1"/>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37,675</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244" w:type="dxa"/>
            <w:tcBorders/>
            <w:vAlign w:val="center"/>
          </w:tcPr>
          <w:p>
            <w:pPr>
              <w:pStyle w:val="TableContents"/>
              <w:bidi w:val="0"/>
              <w:spacing w:before="0" w:after="1"/>
              <w:ind w:left="0" w:right="0" w:hanging="0"/>
              <w:jc w:val="center"/>
              <w:rPr/>
            </w:pPr>
            <w:r>
              <w:rPr/>
              <w:t>​</w:t>
            </w:r>
          </w:p>
        </w:tc>
        <w:tc>
          <w:tcPr>
            <w:tcW w:w="837" w:type="dxa"/>
            <w:tcBorders/>
            <w:vAlign w:val="center"/>
          </w:tcPr>
          <w:p>
            <w:pPr>
              <w:pStyle w:val="TableContents"/>
              <w:bidi w:val="0"/>
              <w:spacing w:before="0" w:after="1"/>
              <w:ind w:left="0" w:right="0" w:hanging="0"/>
              <w:jc w:val="center"/>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(219,681)</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 employees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27,594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145,979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67,744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(220,846)</w:t>
            </w:r>
          </w:p>
        </w:tc>
        <w:tc>
          <w:tcPr>
            <w:tcW w:w="346" w:type="dxa"/>
            <w:tcBorders/>
            <w:vAlign w:val="center"/>
          </w:tcPr>
          <w:p>
            <w:pPr>
              <w:pStyle w:val="TableContents"/>
              <w:bidi w:val="0"/>
              <w:spacing w:before="0" w:after="1"/>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1,243</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(5,880)</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1" w:name="CondensedConsolidatedStatementsofCashFlo"/>
      <w:bookmarkStart w:id="382" w:name="_0ddca660_1b39_4d50_976e_802c102d35ae"/>
      <w:bookmarkEnd w:id="381"/>
      <w:bookmarkEnd w:id="382"/>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3" w:name="Tc_-OtrGDa4f0OMEK0tJV8pzw_32_5"/>
      <w:bookmarkStart w:id="384" w:name="Tc_iT3XamBXkUyWNbS1HCDKQw_32_2"/>
      <w:bookmarkStart w:id="385" w:name="Tc_jaAAeB9wDkyYehuL6R7ANQ_32_0"/>
      <w:bookmarkStart w:id="386" w:name="Tc_FwTOabtdqkeNKe_oC1-LMw_31_0"/>
      <w:bookmarkStart w:id="387" w:name="Tc_9x-E6pKSLkWtzKEdMfgLcQ_30_0"/>
      <w:bookmarkStart w:id="388" w:name="Tc_WCIu_DXfCUiaJw21ZpBOzg_28_0"/>
      <w:bookmarkStart w:id="389" w:name="Tc_7Sk_3yV7RE6TXxWMwFOuKg_27_0"/>
      <w:bookmarkStart w:id="390" w:name="Tc_V995Za_ztU-uQruSMsWhsg_26_0"/>
      <w:bookmarkStart w:id="391" w:name="Tc__nMSrS6TbketBLy0UNfxLg_25_0"/>
      <w:bookmarkStart w:id="392" w:name="Tc_qpGOja-Oc0eqGi35nOA1zA_23_0"/>
      <w:bookmarkStart w:id="393" w:name="Tc_BePfZAgfREy8WwGk0xv_0Q_22_3"/>
      <w:bookmarkStart w:id="394" w:name="Tc_4f9cLktII0-BNmQ6OLoATw_22_0"/>
      <w:bookmarkStart w:id="395" w:name="Tc_RqXpaCX0lEC5ncOQBqX8uQ_21_0"/>
      <w:bookmarkStart w:id="396" w:name="Tc_VmwYKbHEa0mdqxZ-UqwOGg_20_0"/>
      <w:bookmarkStart w:id="397" w:name="Tc_QxfHmpke60Wd0IAwoqedTA_19_6"/>
      <w:bookmarkStart w:id="398" w:name="Tc_XmHzdaebhUSxPOmAqXI1JQ_19_0"/>
      <w:bookmarkStart w:id="399" w:name="Tc_63dzUigGcUaK3BwTiLYxSA_18_0"/>
      <w:bookmarkStart w:id="400" w:name="Tc_SacYuUgVy0iXNU27m-IblQ_17_0"/>
      <w:bookmarkStart w:id="401" w:name="Tc_6ibCkSlQ6EiIJRz6mT-63Q_16_0"/>
      <w:bookmarkStart w:id="402" w:name="Tc_BdtgKQ53GkO1ooNXDu0g9g_15_0"/>
      <w:bookmarkStart w:id="403" w:name="Tc_tf8-Z5FrLE6QzK6GM0H1fA_14_0"/>
      <w:bookmarkStart w:id="404" w:name="Tc_ghCEXSnx0UyGXSPoBM_AMA_13_0"/>
      <w:bookmarkStart w:id="405" w:name="Tc_2BmV3fOepk2BJDcHdjKt6Q_12_3"/>
      <w:bookmarkStart w:id="406" w:name="Tc_f6ic4KqoKkKB2iJmHQkYFA_12_0"/>
      <w:bookmarkStart w:id="407" w:name="Tc_mhPNGrRs5Uq0iIvyIMupiA_11_3"/>
      <w:bookmarkStart w:id="408" w:name="Tc_-WoobelX-0i0IMWnT9cGOQ_11_0"/>
      <w:bookmarkStart w:id="409" w:name="Tc_gDfyodtA7kqkRqyElDrDew_10_0"/>
      <w:bookmarkStart w:id="410" w:name="Tc_4tR0EYCkKkiGIYoKEz4f1g_9_0"/>
      <w:bookmarkStart w:id="411" w:name="Tc_q8CvUF0kU0mJBVzHYnA5tA_8_0"/>
      <w:bookmarkStart w:id="412" w:name="Tc_rSZgQYLUHEG074X1x-u0Tw_7_5"/>
      <w:bookmarkStart w:id="413" w:name="Tc_RhlxM9o8VUmh_Xc5dnMvEQ_7_2"/>
      <w:bookmarkStart w:id="414" w:name="Tc_BPEKecDO5UWQr0pKegRpFw_7_0"/>
      <w:bookmarkStart w:id="415" w:name="Tc_buM2-UERvkyDahnse6KLVA_6_0"/>
      <w:bookmarkStart w:id="416" w:name="Tc_w9EHzQvpz0KD9b4GEZ4JyQ_5_0"/>
      <w:bookmarkStart w:id="417" w:name="Tc_X1ya_2y7qkSdYBQLvJHbhg_3_5"/>
      <w:bookmarkStart w:id="418" w:name="Tc_KXigNWVrJEmX83h3zTtojg_3_2"/>
      <w:bookmarkStart w:id="419" w:name="Tc_J3x55VGv1kmQWrYtK5CAkw_2_5"/>
      <w:bookmarkStart w:id="420" w:name="Tc_gljoM2YbiESVUluzL2Ae9Q_2_2"/>
      <w:bookmarkStart w:id="421" w:name="Tc_V8ZXXptyZkiW7wJNDS8QBQ_1_2"/>
      <w:bookmarkStart w:id="422" w:name="_630512f4_1165_42da_8da6_ea9a169c676e"/>
      <w:bookmarkStart w:id="423" w:name="Tc_-OtrGDa4f0OMEK0tJV8pzw_32_5"/>
      <w:bookmarkStart w:id="424" w:name="Tc_iT3XamBXkUyWNbS1HCDKQw_32_2"/>
      <w:bookmarkStart w:id="425" w:name="Tc_jaAAeB9wDkyYehuL6R7ANQ_32_0"/>
      <w:bookmarkStart w:id="426" w:name="Tc_FwTOabtdqkeNKe_oC1-LMw_31_0"/>
      <w:bookmarkStart w:id="427" w:name="Tc_9x-E6pKSLkWtzKEdMfgLcQ_30_0"/>
      <w:bookmarkStart w:id="428" w:name="Tc_WCIu_DXfCUiaJw21ZpBOzg_28_0"/>
      <w:bookmarkStart w:id="429" w:name="Tc_7Sk_3yV7RE6TXxWMwFOuKg_27_0"/>
      <w:bookmarkStart w:id="430" w:name="Tc_V995Za_ztU-uQruSMsWhsg_26_0"/>
      <w:bookmarkStart w:id="431" w:name="Tc__nMSrS6TbketBLy0UNfxLg_25_0"/>
      <w:bookmarkStart w:id="432" w:name="Tc_qpGOja-Oc0eqGi35nOA1zA_23_0"/>
      <w:bookmarkStart w:id="433" w:name="Tc_BePfZAgfREy8WwGk0xv_0Q_22_3"/>
      <w:bookmarkStart w:id="434" w:name="Tc_4f9cLktII0-BNmQ6OLoATw_22_0"/>
      <w:bookmarkStart w:id="435" w:name="Tc_RqXpaCX0lEC5ncOQBqX8uQ_21_0"/>
      <w:bookmarkStart w:id="436" w:name="Tc_VmwYKbHEa0mdqxZ-UqwOGg_20_0"/>
      <w:bookmarkStart w:id="437" w:name="Tc_QxfHmpke60Wd0IAwoqedTA_19_6"/>
      <w:bookmarkStart w:id="438" w:name="Tc_XmHzdaebhUSxPOmAqXI1JQ_19_0"/>
      <w:bookmarkStart w:id="439" w:name="Tc_63dzUigGcUaK3BwTiLYxSA_18_0"/>
      <w:bookmarkStart w:id="440" w:name="Tc_SacYuUgVy0iXNU27m-IblQ_17_0"/>
      <w:bookmarkStart w:id="441" w:name="Tc_6ibCkSlQ6EiIJRz6mT-63Q_16_0"/>
      <w:bookmarkStart w:id="442" w:name="Tc_BdtgKQ53GkO1ooNXDu0g9g_15_0"/>
      <w:bookmarkStart w:id="443" w:name="Tc_tf8-Z5FrLE6QzK6GM0H1fA_14_0"/>
      <w:bookmarkStart w:id="444" w:name="Tc_ghCEXSnx0UyGXSPoBM_AMA_13_0"/>
      <w:bookmarkStart w:id="445" w:name="Tc_2BmV3fOepk2BJDcHdjKt6Q_12_3"/>
      <w:bookmarkStart w:id="446" w:name="Tc_f6ic4KqoKkKB2iJmHQkYFA_12_0"/>
      <w:bookmarkStart w:id="447" w:name="Tc_mhPNGrRs5Uq0iIvyIMupiA_11_3"/>
      <w:bookmarkStart w:id="448" w:name="Tc_-WoobelX-0i0IMWnT9cGOQ_11_0"/>
      <w:bookmarkStart w:id="449" w:name="Tc_gDfyodtA7kqkRqyElDrDew_10_0"/>
      <w:bookmarkStart w:id="450" w:name="Tc_4tR0EYCkKkiGIYoKEz4f1g_9_0"/>
      <w:bookmarkStart w:id="451" w:name="Tc_q8CvUF0kU0mJBVzHYnA5tA_8_0"/>
      <w:bookmarkStart w:id="452" w:name="Tc_rSZgQYLUHEG074X1x-u0Tw_7_5"/>
      <w:bookmarkStart w:id="453" w:name="Tc_RhlxM9o8VUmh_Xc5dnMvEQ_7_2"/>
      <w:bookmarkStart w:id="454" w:name="Tc_BPEKecDO5UWQr0pKegRpFw_7_0"/>
      <w:bookmarkStart w:id="455" w:name="Tc_buM2-UERvkyDahnse6KLVA_6_0"/>
      <w:bookmarkStart w:id="456" w:name="Tc_w9EHzQvpz0KD9b4GEZ4JyQ_5_0"/>
      <w:bookmarkStart w:id="457" w:name="Tc_X1ya_2y7qkSdYBQLvJHbhg_3_5"/>
      <w:bookmarkStart w:id="458" w:name="Tc_KXigNWVrJEmX83h3zTtojg_3_2"/>
      <w:bookmarkStart w:id="459" w:name="Tc_J3x55VGv1kmQWrYtK5CAkw_2_5"/>
      <w:bookmarkStart w:id="460" w:name="Tc_gljoM2YbiESVUluzL2Ae9Q_2_2"/>
      <w:bookmarkStart w:id="461" w:name="Tc_V8ZXXptyZkiW7wJNDS8QBQ_1_2"/>
      <w:bookmarkStart w:id="462" w:name="_630512f4_1165_42da_8da6_ea9a169c676e"/>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tbl>
      <w:tblPr>
        <w:tblW w:w="10205" w:type="dxa"/>
        <w:jc w:val="left"/>
        <w:tblInd w:w="0" w:type="dxa"/>
        <w:tblLayout w:type="fixed"/>
        <w:tblCellMar>
          <w:top w:w="0" w:type="dxa"/>
          <w:left w:w="0" w:type="dxa"/>
          <w:bottom w:w="0" w:type="dxa"/>
          <w:right w:w="0" w:type="dxa"/>
        </w:tblCellMar>
      </w:tblPr>
      <w:tblGrid>
        <w:gridCol w:w="7321"/>
        <w:gridCol w:w="346"/>
        <w:gridCol w:w="211"/>
        <w:gridCol w:w="689"/>
        <w:gridCol w:w="346"/>
        <w:gridCol w:w="211"/>
        <w:gridCol w:w="689"/>
        <w:gridCol w:w="392"/>
      </w:tblGrid>
      <w:tr>
        <w:trPr/>
        <w:tc>
          <w:tcPr>
            <w:tcW w:w="7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48835" cy="175260"/>
                      <wp:effectExtent l="0" t="0" r="0" b="0"/>
                      <wp:wrapNone/>
                      <wp:docPr id="37" name="Frame37"/>
                      <a:graphic xmlns:a="http://schemas.openxmlformats.org/drawingml/2006/main">
                        <a:graphicData uri="http://schemas.microsoft.com/office/word/2010/wordprocessingShape">
                          <wps:wsp>
                            <wps:cNvSpPr txBox="1"/>
                            <wps:spPr>
                              <a:xfrm>
                                <a:off x="0" y="0"/>
                                <a:ext cx="464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7515" cy="175260"/>
                      <wp:effectExtent l="0" t="0" r="0" b="0"/>
                      <wp:wrapNone/>
                      <wp:docPr id="40" name="Frame4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7515" cy="175260"/>
                      <wp:effectExtent l="0" t="0" r="0" b="0"/>
                      <wp:wrapNone/>
                      <wp:docPr id="43" name="Frame4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48920" cy="175260"/>
                      <wp:effectExtent l="0" t="0" r="0" b="0"/>
                      <wp:wrapNone/>
                      <wp:docPr id="44" name="Frame4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left"/>
              <w:rPr/>
            </w:pPr>
            <w:r>
              <w:rPr/>
              <w:t>  ​ ​ ​</w:t>
            </w:r>
          </w:p>
        </w:tc>
      </w:tr>
      <w:tr>
        <w:trPr/>
        <w:tc>
          <w:tcPr>
            <w:tcW w:w="7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provided by/(used 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 </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income/(loss) to net cash provided by/(used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Norgine asset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(5,277)</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shares, options exercise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taxes on restricted/performance share release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(3,959)</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22,675</w:t>
            </w:r>
          </w:p>
        </w:tc>
        <w:tc>
          <w:tcPr>
            <w:tcW w:w="392" w:type="dxa"/>
            <w:tcBorders/>
            <w:vAlign w:val="center"/>
          </w:tcPr>
          <w:p>
            <w:pPr>
              <w:pStyle w:val="TableContents"/>
              <w:bidi w:val="0"/>
              <w:spacing w:before="0" w:after="1"/>
              <w:ind w:left="0" w:right="0" w:hanging="0"/>
              <w:jc w:val="left"/>
              <w:rPr/>
            </w:pPr>
            <w:r>
              <w:rPr/>
              <w:t>​</w:t>
            </w:r>
          </w:p>
        </w:tc>
      </w:tr>
      <w:tr>
        <w:trPr/>
        <w:tc>
          <w:tcPr>
            <w:tcW w:w="7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olor w:val="FFFFFF"/>
          <w:sz w:val="20"/>
        </w:rPr>
      </w:pPr>
      <w:r>
        <w:rPr>
          <w:rFonts w:ascii="Times New Roman;Times;serif" w:hAnsi="Times New Roman;Times;serif"/>
          <w:b/>
          <w:color w:val="FFFFFF"/>
          <w:sz w:val="20"/>
        </w:rPr>
        <w:t>.</w:t>
      </w:r>
    </w:p>
    <w:p>
      <w:pPr>
        <w:pStyle w:val="TextBody"/>
        <w:bidi w:val="0"/>
        <w:spacing w:before="0" w:after="0"/>
        <w:ind w:left="0" w:right="0" w:hanging="0"/>
        <w:jc w:val="both"/>
        <w:rPr>
          <w:rFonts w:ascii="Times New Roman;Times;serif" w:hAnsi="Times New Roman;Times;serif"/>
          <w:b/>
          <w:sz w:val="20"/>
        </w:rPr>
      </w:pPr>
      <w:bookmarkStart w:id="463" w:name="_1.__"/>
      <w:bookmarkStart w:id="464" w:name="NotestotheConsolidatedFinancialStat"/>
      <w:bookmarkStart w:id="465" w:name="Notes"/>
      <w:bookmarkEnd w:id="463"/>
      <w:bookmarkEnd w:id="464"/>
      <w:bookmarkEnd w:id="465"/>
      <w:r>
        <w:rPr>
          <w:rFonts w:ascii="Times New Roman;Times;serif" w:hAnsi="Times New Roman;Times;serif"/>
          <w:b/>
          <w:sz w:val="20"/>
        </w:rPr>
        <w:t>Fennec Pharmaceuticals Inc.</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Nature of Business and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(“Fennec,” “the Company,” “we,” “us,” or “our”) was originally formed as a British Columbia corporation under the name Adherex Technologies Inc. and subsequently changed its name on September 3, 2014. Fennec, together with its wholly owned subsidiaries Oxiquant, Inc. and Fennec Pharmaceuticals, Inc., both Delaware corporations, Cadherin Biomedical Inc., a Canadian corporation, and Fennec Pharmaceuticals (EU) Limited, an Ireland company (“Fennec Limited”), collectively referred to herein as the “Company,” is a biopharmaceutical company focused on the commercialization of PEDMARK®, which is approved by the U.S. Food and Drug Administration to reduce the risk of ototoxicity associated with cisplatin in pediatric patients one month of age and older with localized, non-metastatic solid tumors. With the exception of Fennec Pharmaceuticals, Inc., all subsidiaries are inactive.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footnotes required by U.S. GAAP for complete annual financial statements, and these unaudited interim condensed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accounting policies are consistent with those presented in the audited consolidated financial statements included in the Annual Report on Form 10-K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had cash and cash equivalents of $40,179, an accumulated deficit of $229,221 and total stockholders’ equity of $37,675. For the three months ended March 31, 2026, the Company reported loss from operations of $119, net income of $201 and net cash provided by operating activities of $2,379. The Company believes that its existing cash and cash equivalents, together with expected revenues from operations, will be sufficient to fund its operating plan for at least the next twelve months from the issuance date of these unaudited interim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466" w:name="_Hlk40199251"/>
      <w:bookmarkEnd w:id="466"/>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accounting principles generally accepted in the United States of America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consolidated financial statements and related notes included in the Company’s Annual Report on Form 10-K for the year ended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management to make estimates and assumptions that impact the reported amounts of assets and liabilities and the disclosure of contingent assets and liabilities as of the date of the condensed consolidated financial statements and the reported amounts of revenue and expense during the reporting period. Significant estimates include revenue recognition and related reserves for variable consideration, allowance for credit losses on trade receivables, measurement of stock-based compensation and estimates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67" w:name="_Hlk40198691"/>
      <w:bookmarkEnd w:id="467"/>
      <w:r>
        <w:rPr>
          <w:rFonts w:ascii="Times New Roman;Times;serif" w:hAnsi="Times New Roman;Times;serif"/>
          <w:sz w:val="20"/>
        </w:rPr>
        <w:t>Company’s capital requirements over at least the next twelve months from the date of issuance of the condensed consolidated financial statements. Actual results could differ materially from those estimates.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Losses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and records a provision for expected credit losses related to its trade receivables. The Company considers historical collection rates, the current financial status of its customers, macroeconomic factors and other industry-specific factors, as well as forward-looking information, when evaluating expected credit losses. To determine the provision for credit losses for accounts receivable, the Company disaggregates its receivables by class of customer because the risk profile of its customers may vary based on characteristics such as credit history, past payment history and geography. Each class of customer is analyzed individually for estimated credit losses, and specific allowance amounts are established, when appropriate, based on a review of outstanding invoices for customers with a higher probability of default.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and Geographic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assess performance. The Company views its operations and manages its business in one operating segment, which is the commercialization of PEDMARK, and its employees support only one operating segment.</w:t>
      </w:r>
    </w:p>
    <w:p>
      <w:pPr>
        <w:pStyle w:val="TextBody"/>
        <w:bidi w:val="0"/>
        <w:spacing w:before="0" w:after="240"/>
        <w:ind w:left="0" w:right="0" w:hanging="0"/>
        <w:jc w:val="both"/>
        <w:rPr>
          <w:rFonts w:ascii="Times New Roman;font-weight:bold" w:hAnsi="Times New Roman;font-weight:bold"/>
          <w:b/>
          <w:sz w:val="20"/>
        </w:rPr>
      </w:pPr>
      <w:r>
        <w:rPr>
          <w:rFonts w:ascii="Times New Roman;font-weight:bold" w:hAnsi="Times New Roman;font-weight:bold"/>
          <w:b/>
          <w:sz w:val="20"/>
        </w:rPr>
        <w:t>Stock-Based Compensation</w:t>
      </w:r>
    </w:p>
    <w:p>
      <w:pPr>
        <w:pStyle w:val="TextBody"/>
        <w:bidi w:val="0"/>
        <w:spacing w:lineRule="auto" w:line="290" w:before="119" w:after="240"/>
        <w:ind w:left="0" w:right="0" w:hanging="0"/>
        <w:jc w:val="both"/>
        <w:rPr>
          <w:rFonts w:ascii="Times New Roman;Times;serif" w:hAnsi="Times New Roman;Times;serif"/>
          <w:sz w:val="20"/>
        </w:rPr>
      </w:pPr>
      <w:r>
        <w:rPr>
          <w:rFonts w:ascii="Times New Roman;Times;serif" w:hAnsi="Times New Roman;Times;serif"/>
          <w:sz w:val="20"/>
        </w:rPr>
        <w:t>Under</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stock-based</w:t>
      </w:r>
      <w:r>
        <w:rPr>
          <w:rFonts w:ascii="Times New Roman;Times;serif" w:hAnsi="Times New Roman;Times;serif"/>
          <w:spacing w:val="40"/>
          <w:sz w:val="20"/>
        </w:rPr>
        <w:t xml:space="preserve"> </w:t>
      </w:r>
      <w:r>
        <w:rPr>
          <w:rFonts w:ascii="Times New Roman;Times;serif" w:hAnsi="Times New Roman;Times;serif"/>
          <w:sz w:val="20"/>
        </w:rPr>
        <w:t>compensation</w:t>
      </w:r>
      <w:r>
        <w:rPr>
          <w:rFonts w:ascii="Times New Roman;Times;serif" w:hAnsi="Times New Roman;Times;serif"/>
          <w:spacing w:val="40"/>
          <w:sz w:val="20"/>
        </w:rPr>
        <w:t xml:space="preserve"> </w:t>
      </w:r>
      <w:r>
        <w:rPr>
          <w:rFonts w:ascii="Times New Roman;Times;serif" w:hAnsi="Times New Roman;Times;serif"/>
          <w:sz w:val="20"/>
        </w:rPr>
        <w:t>programs,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periodically</w:t>
      </w:r>
      <w:r>
        <w:rPr>
          <w:rFonts w:ascii="Times New Roman;Times;serif" w:hAnsi="Times New Roman;Times;serif"/>
          <w:spacing w:val="40"/>
          <w:sz w:val="20"/>
        </w:rPr>
        <w:t xml:space="preserve"> </w:t>
      </w:r>
      <w:r>
        <w:rPr>
          <w:rFonts w:ascii="Times New Roman;Times;serif" w:hAnsi="Times New Roman;Times;serif"/>
          <w:sz w:val="20"/>
        </w:rPr>
        <w:t>grants</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options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restricted</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employees,</w:t>
      </w:r>
      <w:r>
        <w:rPr>
          <w:rFonts w:ascii="Times New Roman;Times;serif" w:hAnsi="Times New Roman;Times;serif"/>
          <w:spacing w:val="40"/>
          <w:sz w:val="20"/>
        </w:rPr>
        <w:t xml:space="preserve"> </w:t>
      </w:r>
      <w:r>
        <w:rPr>
          <w:rFonts w:ascii="Times New Roman;Times;serif" w:hAnsi="Times New Roman;Times;serif"/>
          <w:sz w:val="20"/>
        </w:rPr>
        <w:t>directors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consultants.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also</w:t>
      </w:r>
      <w:r>
        <w:rPr>
          <w:rFonts w:ascii="Times New Roman;Times;serif" w:hAnsi="Times New Roman;Times;serif"/>
          <w:spacing w:val="40"/>
          <w:sz w:val="20"/>
        </w:rPr>
        <w:t xml:space="preserve"> </w:t>
      </w:r>
      <w:r>
        <w:rPr>
          <w:rFonts w:ascii="Times New Roman;Times;serif" w:hAnsi="Times New Roman;Times;serif"/>
          <w:sz w:val="20"/>
        </w:rPr>
        <w:t>issues</w:t>
      </w:r>
      <w:r>
        <w:rPr>
          <w:rFonts w:ascii="Times New Roman;Times;serif" w:hAnsi="Times New Roman;Times;serif"/>
          <w:spacing w:val="40"/>
          <w:sz w:val="20"/>
        </w:rPr>
        <w:t xml:space="preserve"> </w:t>
      </w:r>
      <w:r>
        <w:rPr>
          <w:rFonts w:ascii="Times New Roman;Times;serif" w:hAnsi="Times New Roman;Times;serif"/>
          <w:sz w:val="20"/>
        </w:rPr>
        <w:t>shares</w:t>
      </w:r>
      <w:r>
        <w:rPr>
          <w:rFonts w:ascii="Times New Roman;Times;serif" w:hAnsi="Times New Roman;Times;serif"/>
          <w:spacing w:val="40"/>
          <w:sz w:val="20"/>
        </w:rPr>
        <w:t xml:space="preserve"> </w:t>
      </w:r>
      <w:r>
        <w:rPr>
          <w:rFonts w:ascii="Times New Roman;Times;serif" w:hAnsi="Times New Roman;Times;serif"/>
          <w:sz w:val="20"/>
        </w:rPr>
        <w:t>under</w:t>
      </w:r>
      <w:r>
        <w:rPr>
          <w:rFonts w:ascii="Times New Roman;Times;serif" w:hAnsi="Times New Roman;Times;serif"/>
          <w:spacing w:val="40"/>
          <w:sz w:val="20"/>
        </w:rPr>
        <w:t xml:space="preserve"> </w:t>
      </w:r>
      <w:r>
        <w:rPr>
          <w:rFonts w:ascii="Times New Roman;Times;serif" w:hAnsi="Times New Roman;Times;serif"/>
          <w:sz w:val="20"/>
        </w:rPr>
        <w:t>an</w:t>
      </w:r>
      <w:r>
        <w:rPr>
          <w:rFonts w:ascii="Times New Roman;Times;serif" w:hAnsi="Times New Roman;Times;serif"/>
          <w:spacing w:val="40"/>
          <w:sz w:val="20"/>
        </w:rPr>
        <w:t xml:space="preserve"> </w:t>
      </w:r>
      <w:r>
        <w:rPr>
          <w:rFonts w:ascii="Times New Roman;Times;serif" w:hAnsi="Times New Roman;Times;serif"/>
          <w:sz w:val="20"/>
        </w:rPr>
        <w:t>employee stock</w:t>
      </w:r>
      <w:r>
        <w:rPr>
          <w:rFonts w:ascii="Times New Roman;Times;serif" w:hAnsi="Times New Roman;Times;serif"/>
          <w:spacing w:val="32"/>
          <w:sz w:val="20"/>
        </w:rPr>
        <w:t xml:space="preserve"> </w:t>
      </w:r>
      <w:r>
        <w:rPr>
          <w:rFonts w:ascii="Times New Roman;Times;serif" w:hAnsi="Times New Roman;Times;serif"/>
          <w:sz w:val="20"/>
        </w:rPr>
        <w:t>purchase</w:t>
      </w:r>
      <w:r>
        <w:rPr>
          <w:rFonts w:ascii="Times New Roman;Times;serif" w:hAnsi="Times New Roman;Times;serif"/>
          <w:spacing w:val="32"/>
          <w:sz w:val="20"/>
        </w:rPr>
        <w:t xml:space="preserve"> </w:t>
      </w:r>
      <w:r>
        <w:rPr>
          <w:rFonts w:ascii="Times New Roman;Times;serif" w:hAnsi="Times New Roman;Times;serif"/>
          <w:sz w:val="20"/>
        </w:rPr>
        <w:t>plan.</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fair</w:t>
      </w:r>
      <w:r>
        <w:rPr>
          <w:rFonts w:ascii="Times New Roman;Times;serif" w:hAnsi="Times New Roman;Times;serif"/>
          <w:spacing w:val="32"/>
          <w:sz w:val="20"/>
        </w:rPr>
        <w:t xml:space="preserve"> </w:t>
      </w:r>
      <w:r>
        <w:rPr>
          <w:rFonts w:ascii="Times New Roman;Times;serif" w:hAnsi="Times New Roman;Times;serif"/>
          <w:sz w:val="20"/>
        </w:rPr>
        <w:t>value</w:t>
      </w:r>
      <w:r>
        <w:rPr>
          <w:rFonts w:ascii="Times New Roman;Times;serif" w:hAnsi="Times New Roman;Times;serif"/>
          <w:spacing w:val="32"/>
          <w:sz w:val="20"/>
        </w:rPr>
        <w:t xml:space="preserve"> </w:t>
      </w:r>
      <w:r>
        <w:rPr>
          <w:rFonts w:ascii="Times New Roman;Times;serif" w:hAnsi="Times New Roman;Times;serif"/>
          <w:sz w:val="20"/>
        </w:rPr>
        <w:t>of</w:t>
      </w:r>
      <w:r>
        <w:rPr>
          <w:rFonts w:ascii="Times New Roman;Times;serif" w:hAnsi="Times New Roman;Times;serif"/>
          <w:spacing w:val="32"/>
          <w:sz w:val="20"/>
        </w:rPr>
        <w:t xml:space="preserve"> </w:t>
      </w:r>
      <w:r>
        <w:rPr>
          <w:rFonts w:ascii="Times New Roman;Times;serif" w:hAnsi="Times New Roman;Times;serif"/>
          <w:sz w:val="20"/>
        </w:rPr>
        <w:t>each</w:t>
      </w:r>
      <w:r>
        <w:rPr>
          <w:rFonts w:ascii="Times New Roman;Times;serif" w:hAnsi="Times New Roman;Times;serif"/>
          <w:spacing w:val="31"/>
          <w:sz w:val="20"/>
        </w:rPr>
        <w:t xml:space="preserve"> </w:t>
      </w:r>
      <w:r>
        <w:rPr>
          <w:rFonts w:ascii="Times New Roman;Times;serif" w:hAnsi="Times New Roman;Times;serif"/>
          <w:sz w:val="20"/>
        </w:rPr>
        <w:t>award</w:t>
      </w:r>
      <w:r>
        <w:rPr>
          <w:rFonts w:ascii="Times New Roman;Times;serif" w:hAnsi="Times New Roman;Times;serif"/>
          <w:spacing w:val="31"/>
          <w:sz w:val="20"/>
        </w:rPr>
        <w:t xml:space="preserve"> </w:t>
      </w:r>
      <w:r>
        <w:rPr>
          <w:rFonts w:ascii="Times New Roman;Times;serif" w:hAnsi="Times New Roman;Times;serif"/>
          <w:sz w:val="20"/>
        </w:rPr>
        <w:t>is</w:t>
      </w:r>
      <w:r>
        <w:rPr>
          <w:rFonts w:ascii="Times New Roman;Times;serif" w:hAnsi="Times New Roman;Times;serif"/>
          <w:spacing w:val="31"/>
          <w:sz w:val="20"/>
        </w:rPr>
        <w:t xml:space="preserve"> </w:t>
      </w:r>
      <w:r>
        <w:rPr>
          <w:rFonts w:ascii="Times New Roman;Times;serif" w:hAnsi="Times New Roman;Times;serif"/>
          <w:sz w:val="20"/>
        </w:rPr>
        <w:t>recognized</w:t>
      </w:r>
      <w:r>
        <w:rPr>
          <w:rFonts w:ascii="Times New Roman;Times;serif" w:hAnsi="Times New Roman;Times;serif"/>
          <w:spacing w:val="32"/>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Company’s</w:t>
      </w:r>
      <w:r>
        <w:rPr>
          <w:rFonts w:ascii="Times New Roman;Times;serif" w:hAnsi="Times New Roman;Times;serif"/>
          <w:spacing w:val="31"/>
          <w:sz w:val="20"/>
        </w:rPr>
        <w:t xml:space="preserve"> </w:t>
      </w:r>
      <w:r>
        <w:rPr>
          <w:rFonts w:ascii="Times New Roman;Times;serif" w:hAnsi="Times New Roman;Times;serif"/>
          <w:sz w:val="20"/>
        </w:rPr>
        <w:t>statements</w:t>
      </w:r>
      <w:r>
        <w:rPr>
          <w:rFonts w:ascii="Times New Roman;Times;serif" w:hAnsi="Times New Roman;Times;serif"/>
          <w:spacing w:val="32"/>
          <w:sz w:val="20"/>
        </w:rPr>
        <w:t xml:space="preserve"> </w:t>
      </w:r>
      <w:r>
        <w:rPr>
          <w:rFonts w:ascii="Times New Roman;Times;serif" w:hAnsi="Times New Roman;Times;serif"/>
          <w:sz w:val="20"/>
        </w:rPr>
        <w:t>of</w:t>
      </w:r>
      <w:r>
        <w:rPr>
          <w:rFonts w:ascii="Times New Roman;Times;serif" w:hAnsi="Times New Roman;Times;serif"/>
          <w:spacing w:val="32"/>
          <w:sz w:val="20"/>
        </w:rPr>
        <w:t xml:space="preserve"> </w:t>
      </w:r>
      <w:r>
        <w:rPr>
          <w:rFonts w:ascii="Times New Roman;Times;serif" w:hAnsi="Times New Roman;Times;serif"/>
          <w:sz w:val="20"/>
        </w:rPr>
        <w:t>operations</w:t>
      </w:r>
      <w:r>
        <w:rPr>
          <w:rFonts w:ascii="Times New Roman;Times;serif" w:hAnsi="Times New Roman;Times;serif"/>
          <w:spacing w:val="32"/>
          <w:sz w:val="20"/>
        </w:rPr>
        <w:t xml:space="preserve"> </w:t>
      </w:r>
      <w:r>
        <w:rPr>
          <w:rFonts w:ascii="Times New Roman;Times;serif" w:hAnsi="Times New Roman;Times;serif"/>
          <w:sz w:val="20"/>
        </w:rPr>
        <w:t>over</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requisite</w:t>
      </w:r>
      <w:r>
        <w:rPr>
          <w:rFonts w:ascii="Times New Roman;Times;serif" w:hAnsi="Times New Roman;Times;serif"/>
          <w:spacing w:val="32"/>
          <w:sz w:val="20"/>
        </w:rPr>
        <w:t xml:space="preserve"> </w:t>
      </w:r>
      <w:r>
        <w:rPr>
          <w:rFonts w:ascii="Times New Roman;Times;serif" w:hAnsi="Times New Roman;Times;serif"/>
          <w:sz w:val="20"/>
        </w:rPr>
        <w:t>service</w:t>
      </w:r>
      <w:r>
        <w:rPr>
          <w:rFonts w:ascii="Times New Roman;Times;serif" w:hAnsi="Times New Roman;Times;serif"/>
          <w:spacing w:val="32"/>
          <w:sz w:val="20"/>
        </w:rPr>
        <w:t xml:space="preserve"> </w:t>
      </w:r>
      <w:r>
        <w:rPr>
          <w:rFonts w:ascii="Times New Roman;Times;serif" w:hAnsi="Times New Roman;Times;serif"/>
          <w:sz w:val="20"/>
        </w:rPr>
        <w:t>period</w:t>
      </w:r>
      <w:r>
        <w:rPr>
          <w:rFonts w:ascii="Times New Roman;Times;serif" w:hAnsi="Times New Roman;Times;serif"/>
          <w:spacing w:val="32"/>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such award.</w:t>
      </w:r>
    </w:p>
    <w:p>
      <w:pPr>
        <w:pStyle w:val="TextBody"/>
        <w:bidi w:val="0"/>
        <w:spacing w:before="119" w:after="240"/>
        <w:ind w:left="0" w:right="0"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uses</w:t>
      </w:r>
      <w:r>
        <w:rPr>
          <w:rFonts w:ascii="Times New Roman;Times;serif" w:hAnsi="Times New Roman;Times;serif"/>
          <w:spacing w:val="32"/>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Black-Scholes</w:t>
      </w:r>
      <w:r>
        <w:rPr>
          <w:rFonts w:ascii="Times New Roman;Times;serif" w:hAnsi="Times New Roman;Times;serif"/>
          <w:spacing w:val="40"/>
          <w:sz w:val="20"/>
        </w:rPr>
        <w:t xml:space="preserve"> </w:t>
      </w:r>
      <w:r>
        <w:rPr>
          <w:rFonts w:ascii="Times New Roman;Times;serif" w:hAnsi="Times New Roman;Times;serif"/>
          <w:sz w:val="20"/>
        </w:rPr>
        <w:t>option</w:t>
      </w:r>
      <w:r>
        <w:rPr>
          <w:rFonts w:ascii="Times New Roman;Times;serif" w:hAnsi="Times New Roman;Times;serif"/>
          <w:spacing w:val="40"/>
          <w:sz w:val="20"/>
        </w:rPr>
        <w:t xml:space="preserve"> </w:t>
      </w:r>
      <w:r>
        <w:rPr>
          <w:rFonts w:ascii="Times New Roman;Times;serif" w:hAnsi="Times New Roman;Times;serif"/>
          <w:sz w:val="20"/>
        </w:rPr>
        <w:t>pricing</w:t>
      </w:r>
      <w:r>
        <w:rPr>
          <w:rFonts w:ascii="Times New Roman;Times;serif" w:hAnsi="Times New Roman;Times;serif"/>
          <w:spacing w:val="40"/>
          <w:sz w:val="20"/>
        </w:rPr>
        <w:t xml:space="preserve"> </w:t>
      </w:r>
      <w:r>
        <w:rPr>
          <w:rFonts w:ascii="Times New Roman;Times;serif" w:hAnsi="Times New Roman;Times;serif"/>
          <w:sz w:val="20"/>
        </w:rPr>
        <w:t>model</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value</w:t>
      </w:r>
      <w:r>
        <w:rPr>
          <w:rFonts w:ascii="Times New Roman;Times;serif" w:hAnsi="Times New Roman;Times;serif"/>
          <w:spacing w:val="40"/>
          <w:sz w:val="20"/>
        </w:rPr>
        <w:t xml:space="preserve"> </w:t>
      </w:r>
      <w:r>
        <w:rPr>
          <w:rFonts w:ascii="Times New Roman;Times;serif" w:hAnsi="Times New Roman;Times;serif"/>
          <w:sz w:val="20"/>
        </w:rPr>
        <w:t>stock</w:t>
      </w:r>
      <w:r>
        <w:rPr>
          <w:rFonts w:ascii="Times New Roman;Times;serif" w:hAnsi="Times New Roman;Times;serif"/>
          <w:spacing w:val="40"/>
          <w:sz w:val="20"/>
        </w:rPr>
        <w:t xml:space="preserve"> </w:t>
      </w:r>
      <w:r>
        <w:rPr>
          <w:rFonts w:ascii="Times New Roman;Times;serif" w:hAnsi="Times New Roman;Times;serif"/>
          <w:sz w:val="20"/>
        </w:rPr>
        <w:t>option</w:t>
      </w:r>
      <w:r>
        <w:rPr>
          <w:rFonts w:ascii="Times New Roman;Times;serif" w:hAnsi="Times New Roman;Times;serif"/>
          <w:spacing w:val="40"/>
          <w:sz w:val="20"/>
        </w:rPr>
        <w:t xml:space="preserve"> </w:t>
      </w:r>
      <w:r>
        <w:rPr>
          <w:rFonts w:ascii="Times New Roman;Times;serif" w:hAnsi="Times New Roman;Times;serif"/>
          <w:sz w:val="20"/>
        </w:rPr>
        <w:t>awards</w:t>
      </w:r>
      <w:r>
        <w:rPr>
          <w:rFonts w:ascii="Times New Roman;Times;serif" w:hAnsi="Times New Roman;Times;serif"/>
          <w:spacing w:val="40"/>
          <w:sz w:val="20"/>
        </w:rPr>
        <w:t xml:space="preserve"> </w:t>
      </w:r>
      <w:r>
        <w:rPr>
          <w:rFonts w:ascii="Times New Roman;Times;serif" w:hAnsi="Times New Roman;Times;serif"/>
          <w:sz w:val="20"/>
        </w:rPr>
        <w:t>without</w:t>
      </w:r>
      <w:r>
        <w:rPr>
          <w:rFonts w:ascii="Times New Roman;Times;serif" w:hAnsi="Times New Roman;Times;serif"/>
          <w:spacing w:val="40"/>
          <w:sz w:val="20"/>
        </w:rPr>
        <w:t xml:space="preserve"> </w:t>
      </w:r>
      <w:r>
        <w:rPr>
          <w:rFonts w:ascii="Times New Roman;Times;serif" w:hAnsi="Times New Roman;Times;serif"/>
          <w:sz w:val="20"/>
        </w:rPr>
        <w:t>market</w:t>
      </w:r>
      <w:r>
        <w:rPr>
          <w:rFonts w:ascii="Times New Roman;Times;serif" w:hAnsi="Times New Roman;Times;serif"/>
          <w:spacing w:val="40"/>
          <w:sz w:val="20"/>
        </w:rPr>
        <w:t xml:space="preserve"> </w:t>
      </w:r>
      <w:r>
        <w:rPr>
          <w:rFonts w:ascii="Times New Roman;Times;serif" w:hAnsi="Times New Roman;Times;serif"/>
          <w:sz w:val="20"/>
        </w:rPr>
        <w:t>conditions,</w:t>
      </w:r>
      <w:r>
        <w:rPr>
          <w:rFonts w:ascii="Times New Roman;Times;serif" w:hAnsi="Times New Roman;Times;serif"/>
          <w:spacing w:val="40"/>
          <w:sz w:val="20"/>
        </w:rPr>
        <w:t xml:space="preserve"> </w:t>
      </w:r>
      <w:r>
        <w:rPr>
          <w:rFonts w:ascii="Times New Roman;Times;serif" w:hAnsi="Times New Roman;Times;serif"/>
          <w:sz w:val="20"/>
        </w:rPr>
        <w:t>which</w:t>
      </w:r>
      <w:r>
        <w:rPr>
          <w:rFonts w:ascii="Times New Roman;Times;serif" w:hAnsi="Times New Roman;Times;serif"/>
          <w:spacing w:val="40"/>
          <w:sz w:val="20"/>
        </w:rPr>
        <w:t xml:space="preserve"> </w:t>
      </w:r>
      <w:r>
        <w:rPr>
          <w:rFonts w:ascii="Times New Roman;Times;serif" w:hAnsi="Times New Roman;Times;serif"/>
          <w:sz w:val="20"/>
        </w:rPr>
        <w:t>requires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make</w:t>
      </w:r>
      <w:r>
        <w:rPr>
          <w:rFonts w:ascii="Times New Roman;Times;serif" w:hAnsi="Times New Roman;Times;serif"/>
          <w:spacing w:val="40"/>
          <w:sz w:val="20"/>
        </w:rPr>
        <w:t xml:space="preserve"> </w:t>
      </w:r>
      <w:r>
        <w:rPr>
          <w:rFonts w:ascii="Times New Roman;Times;serif" w:hAnsi="Times New Roman;Times;serif"/>
          <w:sz w:val="20"/>
        </w:rPr>
        <w:t>certain</w:t>
      </w:r>
      <w:r>
        <w:rPr>
          <w:rFonts w:ascii="Times New Roman;Times;serif" w:hAnsi="Times New Roman;Times;serif"/>
          <w:spacing w:val="40"/>
          <w:sz w:val="20"/>
        </w:rPr>
        <w:t xml:space="preserve"> </w:t>
      </w:r>
      <w:r>
        <w:rPr>
          <w:rFonts w:ascii="Times New Roman;Times;serif" w:hAnsi="Times New Roman;Times;serif"/>
          <w:sz w:val="20"/>
        </w:rPr>
        <w:t>assumptions regarding the expected volatility of its common stock price, the expected term of the option grants, the risk-free interest rate and the</w:t>
      </w:r>
      <w:r>
        <w:rPr>
          <w:rFonts w:ascii="Times New Roman;Times;serif" w:hAnsi="Times New Roman;Times;serif"/>
          <w:spacing w:val="80"/>
          <w:sz w:val="20"/>
        </w:rPr>
        <w:t xml:space="preserve"> </w:t>
      </w:r>
      <w:r>
        <w:rPr>
          <w:rFonts w:ascii="Times New Roman;Times;serif" w:hAnsi="Times New Roman;Times;serif"/>
          <w:sz w:val="20"/>
        </w:rPr>
        <w:t>dividend</w:t>
      </w:r>
      <w:r>
        <w:rPr>
          <w:rFonts w:ascii="Times New Roman;Times;serif" w:hAnsi="Times New Roman;Times;serif"/>
          <w:spacing w:val="34"/>
          <w:sz w:val="20"/>
        </w:rPr>
        <w:t xml:space="preserve"> </w:t>
      </w:r>
      <w:r>
        <w:rPr>
          <w:rFonts w:ascii="Times New Roman;Times;serif" w:hAnsi="Times New Roman;Times;serif"/>
          <w:sz w:val="20"/>
        </w:rPr>
        <w:t>yield</w:t>
      </w:r>
      <w:r>
        <w:rPr>
          <w:rFonts w:ascii="Times New Roman;Times;serif" w:hAnsi="Times New Roman;Times;serif"/>
          <w:spacing w:val="34"/>
          <w:sz w:val="20"/>
        </w:rPr>
        <w:t xml:space="preserve"> </w:t>
      </w:r>
      <w:r>
        <w:rPr>
          <w:rFonts w:ascii="Times New Roman;Times;serif" w:hAnsi="Times New Roman;Times;serif"/>
          <w:sz w:val="20"/>
        </w:rPr>
        <w:t>with</w:t>
      </w:r>
      <w:r>
        <w:rPr>
          <w:rFonts w:ascii="Times New Roman;Times;serif" w:hAnsi="Times New Roman;Times;serif"/>
          <w:spacing w:val="34"/>
          <w:sz w:val="20"/>
        </w:rPr>
        <w:t xml:space="preserve"> </w:t>
      </w:r>
      <w:r>
        <w:rPr>
          <w:rFonts w:ascii="Times New Roman;Times;serif" w:hAnsi="Times New Roman;Times;serif"/>
          <w:sz w:val="20"/>
        </w:rPr>
        <w:t>respect</w:t>
      </w:r>
      <w:r>
        <w:rPr>
          <w:rFonts w:ascii="Times New Roman;Times;serif" w:hAnsi="Times New Roman;Times;serif"/>
          <w:spacing w:val="34"/>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its</w:t>
      </w:r>
      <w:r>
        <w:rPr>
          <w:rFonts w:ascii="Times New Roman;Times;serif" w:hAnsi="Times New Roman;Times;serif"/>
          <w:spacing w:val="34"/>
          <w:sz w:val="20"/>
        </w:rPr>
        <w:t xml:space="preserve"> </w:t>
      </w:r>
      <w:r>
        <w:rPr>
          <w:rFonts w:ascii="Times New Roman;Times;serif" w:hAnsi="Times New Roman;Times;serif"/>
          <w:sz w:val="20"/>
        </w:rPr>
        <w:t>common</w:t>
      </w:r>
      <w:r>
        <w:rPr>
          <w:rFonts w:ascii="Times New Roman;Times;serif" w:hAnsi="Times New Roman;Times;serif"/>
          <w:spacing w:val="34"/>
          <w:sz w:val="20"/>
        </w:rPr>
        <w:t xml:space="preserve"> </w:t>
      </w:r>
      <w:r>
        <w:rPr>
          <w:rFonts w:ascii="Times New Roman;Times;serif" w:hAnsi="Times New Roman;Times;serif"/>
          <w:sz w:val="20"/>
        </w:rPr>
        <w:t>stock.</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34"/>
          <w:sz w:val="20"/>
        </w:rPr>
        <w:t xml:space="preserve"> </w:t>
      </w:r>
      <w:r>
        <w:rPr>
          <w:rFonts w:ascii="Times New Roman;Times;serif" w:hAnsi="Times New Roman;Times;serif"/>
          <w:sz w:val="20"/>
        </w:rPr>
        <w:t>Company</w:t>
      </w:r>
      <w:r>
        <w:rPr>
          <w:rFonts w:ascii="Times New Roman;Times;serif" w:hAnsi="Times New Roman;Times;serif"/>
          <w:spacing w:val="34"/>
          <w:sz w:val="20"/>
        </w:rPr>
        <w:t xml:space="preserve"> </w:t>
      </w:r>
      <w:r>
        <w:rPr>
          <w:rFonts w:ascii="Times New Roman;Times;serif" w:hAnsi="Times New Roman;Times;serif"/>
          <w:sz w:val="20"/>
        </w:rPr>
        <w:t>calculates</w:t>
      </w:r>
      <w:r>
        <w:rPr>
          <w:rFonts w:ascii="Times New Roman;Times;serif" w:hAnsi="Times New Roman;Times;serif"/>
          <w:spacing w:val="34"/>
          <w:sz w:val="20"/>
        </w:rPr>
        <w:t xml:space="preserve"> </w:t>
      </w:r>
      <w:r>
        <w:rPr>
          <w:rFonts w:ascii="Times New Roman;Times;serif" w:hAnsi="Times New Roman;Times;serif"/>
          <w:sz w:val="20"/>
        </w:rPr>
        <w:t>volatility</w:t>
      </w:r>
      <w:r>
        <w:rPr>
          <w:rFonts w:ascii="Times New Roman;Times;serif" w:hAnsi="Times New Roman;Times;serif"/>
          <w:spacing w:val="34"/>
          <w:sz w:val="20"/>
        </w:rPr>
        <w:t xml:space="preserve"> </w:t>
      </w:r>
      <w:r>
        <w:rPr>
          <w:rFonts w:ascii="Times New Roman;Times;serif" w:hAnsi="Times New Roman;Times;serif"/>
          <w:sz w:val="20"/>
        </w:rPr>
        <w:t>using</w:t>
      </w:r>
      <w:r>
        <w:rPr>
          <w:rFonts w:ascii="Times New Roman;Times;serif" w:hAnsi="Times New Roman;Times;serif"/>
          <w:spacing w:val="34"/>
          <w:sz w:val="20"/>
        </w:rPr>
        <w:t xml:space="preserve"> </w:t>
      </w:r>
      <w:r>
        <w:rPr>
          <w:rFonts w:ascii="Times New Roman;Times;serif" w:hAnsi="Times New Roman;Times;serif"/>
          <w:sz w:val="20"/>
        </w:rPr>
        <w:t>its</w:t>
      </w:r>
      <w:r>
        <w:rPr>
          <w:rFonts w:ascii="Times New Roman;Times;serif" w:hAnsi="Times New Roman;Times;serif"/>
          <w:spacing w:val="34"/>
          <w:sz w:val="20"/>
        </w:rPr>
        <w:t xml:space="preserve"> </w:t>
      </w:r>
      <w:r>
        <w:rPr>
          <w:rFonts w:ascii="Times New Roman;Times;serif" w:hAnsi="Times New Roman;Times;serif"/>
          <w:sz w:val="20"/>
        </w:rPr>
        <w:t>historical</w:t>
      </w:r>
      <w:r>
        <w:rPr>
          <w:rFonts w:ascii="Times New Roman;Times;serif" w:hAnsi="Times New Roman;Times;serif"/>
          <w:spacing w:val="34"/>
          <w:sz w:val="20"/>
        </w:rPr>
        <w:t xml:space="preserve"> </w:t>
      </w:r>
      <w:r>
        <w:rPr>
          <w:rFonts w:ascii="Times New Roman;Times;serif" w:hAnsi="Times New Roman;Times;serif"/>
          <w:sz w:val="20"/>
        </w:rPr>
        <w:t>stock</w:t>
      </w:r>
      <w:r>
        <w:rPr>
          <w:rFonts w:ascii="Times New Roman;Times;serif" w:hAnsi="Times New Roman;Times;serif"/>
          <w:spacing w:val="34"/>
          <w:sz w:val="20"/>
        </w:rPr>
        <w:t xml:space="preserve"> </w:t>
      </w:r>
      <w:r>
        <w:rPr>
          <w:rFonts w:ascii="Times New Roman;Times;serif" w:hAnsi="Times New Roman;Times;serif"/>
          <w:sz w:val="20"/>
        </w:rPr>
        <w:t>price</w:t>
      </w:r>
      <w:r>
        <w:rPr>
          <w:rFonts w:ascii="Times New Roman;Times;serif" w:hAnsi="Times New Roman;Times;serif"/>
          <w:spacing w:val="34"/>
          <w:sz w:val="20"/>
        </w:rPr>
        <w:t xml:space="preserve"> </w:t>
      </w:r>
      <w:r>
        <w:rPr>
          <w:rFonts w:ascii="Times New Roman;Times;serif" w:hAnsi="Times New Roman;Times;serif"/>
          <w:sz w:val="20"/>
        </w:rPr>
        <w:t>data.</w:t>
      </w:r>
      <w:r>
        <w:rPr>
          <w:rFonts w:ascii="Times New Roman;Times;serif" w:hAnsi="Times New Roman;Times;serif"/>
          <w:spacing w:val="34"/>
          <w:sz w:val="20"/>
        </w:rPr>
        <w:t xml:space="preserve"> </w:t>
      </w:r>
      <w:r>
        <w:rPr>
          <w:rFonts w:ascii="Times New Roman;Times;serif" w:hAnsi="Times New Roman;Times;serif"/>
          <w:sz w:val="20"/>
        </w:rPr>
        <w:t>Due</w:t>
      </w:r>
      <w:r>
        <w:rPr>
          <w:rFonts w:ascii="Times New Roman;Times;serif" w:hAnsi="Times New Roman;Times;serif"/>
          <w:spacing w:val="34"/>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34"/>
          <w:sz w:val="20"/>
        </w:rPr>
        <w:t xml:space="preserve"> </w:t>
      </w:r>
      <w:r>
        <w:rPr>
          <w:rFonts w:ascii="Times New Roman;Times;serif" w:hAnsi="Times New Roman;Times;serif"/>
          <w:sz w:val="20"/>
        </w:rPr>
        <w:t>lack</w:t>
      </w:r>
      <w:r>
        <w:rPr>
          <w:rFonts w:ascii="Times New Roman;Times;serif" w:hAnsi="Times New Roman;Times;serif"/>
          <w:spacing w:val="34"/>
          <w:sz w:val="20"/>
        </w:rPr>
        <w:t xml:space="preserve"> </w:t>
      </w:r>
      <w:r>
        <w:rPr>
          <w:rFonts w:ascii="Times New Roman;Times;serif" w:hAnsi="Times New Roman;Times;serif"/>
          <w:sz w:val="20"/>
        </w:rPr>
        <w:t>of</w:t>
      </w:r>
      <w:r>
        <w:rPr>
          <w:rFonts w:ascii="Times New Roman;Times;serif" w:hAnsi="Times New Roman;Times;serif"/>
          <w:spacing w:val="34"/>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 own historical data, the Company elected to use the “simplified” method for “plain vanilla” options to estimate the expected term of the</w:t>
      </w:r>
      <w:r>
        <w:rPr>
          <w:rFonts w:ascii="Times New Roman;Times;serif" w:hAnsi="Times New Roman;Times;serif"/>
          <w:spacing w:val="40"/>
          <w:sz w:val="20"/>
        </w:rPr>
        <w:t xml:space="preserve"> </w:t>
      </w:r>
      <w:r>
        <w:rPr>
          <w:rFonts w:ascii="Times New Roman;Times;serif" w:hAnsi="Times New Roman;Times;serif"/>
          <w:sz w:val="20"/>
        </w:rPr>
        <w:t>Company’s stock option grants. Under this approach, the weighted-average expected life is presumed to be the average of the vesting term and the</w:t>
      </w:r>
      <w:r>
        <w:rPr>
          <w:rFonts w:ascii="Times New Roman;Times;serif" w:hAnsi="Times New Roman;Times;serif"/>
          <w:spacing w:val="40"/>
          <w:sz w:val="20"/>
        </w:rPr>
        <w:t xml:space="preserve"> </w:t>
      </w:r>
      <w:r>
        <w:rPr>
          <w:rFonts w:ascii="Times New Roman;Times;serif" w:hAnsi="Times New Roman;Times;serif"/>
          <w:sz w:val="20"/>
        </w:rPr>
        <w:t>contractual</w:t>
      </w:r>
      <w:r>
        <w:rPr>
          <w:rFonts w:ascii="Times New Roman;Times;serif" w:hAnsi="Times New Roman;Times;serif"/>
          <w:spacing w:val="17"/>
          <w:sz w:val="20"/>
        </w:rPr>
        <w:t xml:space="preserve"> </w:t>
      </w:r>
      <w:r>
        <w:rPr>
          <w:rFonts w:ascii="Times New Roman;Times;serif" w:hAnsi="Times New Roman;Times;serif"/>
          <w:sz w:val="20"/>
        </w:rPr>
        <w:t>term</w:t>
      </w:r>
      <w:r>
        <w:rPr>
          <w:rFonts w:ascii="Times New Roman;Times;serif" w:hAnsi="Times New Roman;Times;serif"/>
          <w:spacing w:val="17"/>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option.</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risk-free</w:t>
      </w:r>
      <w:r>
        <w:rPr>
          <w:rFonts w:ascii="Times New Roman;Times;serif" w:hAnsi="Times New Roman;Times;serif"/>
          <w:spacing w:val="17"/>
          <w:sz w:val="20"/>
        </w:rPr>
        <w:t xml:space="preserve"> </w:t>
      </w:r>
      <w:r>
        <w:rPr>
          <w:rFonts w:ascii="Times New Roman;Times;serif" w:hAnsi="Times New Roman;Times;serif"/>
          <w:sz w:val="20"/>
        </w:rPr>
        <w:t>interest</w:t>
      </w:r>
      <w:r>
        <w:rPr>
          <w:rFonts w:ascii="Times New Roman;Times;serif" w:hAnsi="Times New Roman;Times;serif"/>
          <w:spacing w:val="17"/>
          <w:sz w:val="20"/>
        </w:rPr>
        <w:t xml:space="preserve"> </w:t>
      </w:r>
      <w:r>
        <w:rPr>
          <w:rFonts w:ascii="Times New Roman;Times;serif" w:hAnsi="Times New Roman;Times;serif"/>
          <w:sz w:val="20"/>
        </w:rPr>
        <w:t>rate</w:t>
      </w:r>
      <w:r>
        <w:rPr>
          <w:rFonts w:ascii="Times New Roman;Times;serif" w:hAnsi="Times New Roman;Times;serif"/>
          <w:spacing w:val="17"/>
          <w:sz w:val="20"/>
        </w:rPr>
        <w:t xml:space="preserve"> </w:t>
      </w:r>
      <w:r>
        <w:rPr>
          <w:rFonts w:ascii="Times New Roman;Times;serif" w:hAnsi="Times New Roman;Times;serif"/>
          <w:sz w:val="20"/>
        </w:rPr>
        <w:t>used</w:t>
      </w:r>
      <w:r>
        <w:rPr>
          <w:rFonts w:ascii="Times New Roman;Times;serif" w:hAnsi="Times New Roman;Times;serif"/>
          <w:spacing w:val="17"/>
          <w:sz w:val="20"/>
        </w:rPr>
        <w:t xml:space="preserve"> </w:t>
      </w:r>
      <w:r>
        <w:rPr>
          <w:rFonts w:ascii="Times New Roman;Times;serif" w:hAnsi="Times New Roman;Times;serif"/>
          <w:sz w:val="20"/>
        </w:rPr>
        <w:t>for</w:t>
      </w:r>
      <w:r>
        <w:rPr>
          <w:rFonts w:ascii="Times New Roman;Times;serif" w:hAnsi="Times New Roman;Times;serif"/>
          <w:spacing w:val="17"/>
          <w:sz w:val="20"/>
        </w:rPr>
        <w:t xml:space="preserve"> </w:t>
      </w:r>
      <w:r>
        <w:rPr>
          <w:rFonts w:ascii="Times New Roman;Times;serif" w:hAnsi="Times New Roman;Times;serif"/>
          <w:sz w:val="20"/>
        </w:rPr>
        <w:t>each</w:t>
      </w:r>
      <w:r>
        <w:rPr>
          <w:rFonts w:ascii="Times New Roman;Times;serif" w:hAnsi="Times New Roman;Times;serif"/>
          <w:spacing w:val="17"/>
          <w:sz w:val="20"/>
        </w:rPr>
        <w:t xml:space="preserve"> </w:t>
      </w:r>
      <w:r>
        <w:rPr>
          <w:rFonts w:ascii="Times New Roman;Times;serif" w:hAnsi="Times New Roman;Times;serif"/>
          <w:sz w:val="20"/>
        </w:rPr>
        <w:t>grant</w:t>
      </w:r>
      <w:r>
        <w:rPr>
          <w:rFonts w:ascii="Times New Roman;Times;serif" w:hAnsi="Times New Roman;Times;serif"/>
          <w:spacing w:val="17"/>
          <w:sz w:val="20"/>
        </w:rPr>
        <w:t xml:space="preserve"> </w:t>
      </w:r>
      <w:r>
        <w:rPr>
          <w:rFonts w:ascii="Times New Roman;Times;serif" w:hAnsi="Times New Roman;Times;serif"/>
          <w:sz w:val="20"/>
        </w:rPr>
        <w:t>is</w:t>
      </w:r>
      <w:r>
        <w:rPr>
          <w:rFonts w:ascii="Times New Roman;Times;serif" w:hAnsi="Times New Roman;Times;serif"/>
          <w:spacing w:val="17"/>
          <w:sz w:val="20"/>
        </w:rPr>
        <w:t xml:space="preserve"> </w:t>
      </w:r>
      <w:r>
        <w:rPr>
          <w:rFonts w:ascii="Times New Roman;Times;serif" w:hAnsi="Times New Roman;Times;serif"/>
          <w:sz w:val="20"/>
        </w:rPr>
        <w:t>based</w:t>
      </w:r>
      <w:r>
        <w:rPr>
          <w:rFonts w:ascii="Times New Roman;Times;serif" w:hAnsi="Times New Roman;Times;serif"/>
          <w:spacing w:val="17"/>
          <w:sz w:val="20"/>
        </w:rPr>
        <w:t xml:space="preserve"> </w:t>
      </w:r>
      <w:r>
        <w:rPr>
          <w:rFonts w:ascii="Times New Roman;Times;serif" w:hAnsi="Times New Roman;Times;serif"/>
          <w:sz w:val="20"/>
        </w:rPr>
        <w:t>on</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United</w:t>
      </w:r>
      <w:r>
        <w:rPr>
          <w:rFonts w:ascii="Times New Roman;Times;serif" w:hAnsi="Times New Roman;Times;serif"/>
          <w:spacing w:val="17"/>
          <w:sz w:val="20"/>
        </w:rPr>
        <w:t xml:space="preserve"> </w:t>
      </w:r>
      <w:r>
        <w:rPr>
          <w:rFonts w:ascii="Times New Roman;Times;serif" w:hAnsi="Times New Roman;Times;serif"/>
          <w:sz w:val="20"/>
        </w:rPr>
        <w:t>States</w:t>
      </w:r>
      <w:r>
        <w:rPr>
          <w:rFonts w:ascii="Times New Roman;Times;serif" w:hAnsi="Times New Roman;Times;serif"/>
          <w:spacing w:val="17"/>
          <w:sz w:val="20"/>
        </w:rPr>
        <w:t xml:space="preserve"> </w:t>
      </w:r>
      <w:r>
        <w:rPr>
          <w:rFonts w:ascii="Times New Roman;Times;serif" w:hAnsi="Times New Roman;Times;serif"/>
          <w:sz w:val="20"/>
        </w:rPr>
        <w:t>Treasury</w:t>
      </w:r>
      <w:r>
        <w:rPr>
          <w:rFonts w:ascii="Times New Roman;Times;serif" w:hAnsi="Times New Roman;Times;serif"/>
          <w:spacing w:val="17"/>
          <w:sz w:val="20"/>
        </w:rPr>
        <w:t xml:space="preserve"> </w:t>
      </w:r>
      <w:r>
        <w:rPr>
          <w:rFonts w:ascii="Times New Roman;Times;serif" w:hAnsi="Times New Roman;Times;serif"/>
          <w:sz w:val="20"/>
        </w:rPr>
        <w:t>yield</w:t>
      </w:r>
      <w:r>
        <w:rPr>
          <w:rFonts w:ascii="Times New Roman;Times;serif" w:hAnsi="Times New Roman;Times;serif"/>
          <w:spacing w:val="17"/>
          <w:sz w:val="20"/>
        </w:rPr>
        <w:t xml:space="preserve"> </w:t>
      </w:r>
      <w:r>
        <w:rPr>
          <w:rFonts w:ascii="Times New Roman;Times;serif" w:hAnsi="Times New Roman;Times;serif"/>
          <w:sz w:val="20"/>
        </w:rPr>
        <w:t>curve</w:t>
      </w:r>
      <w:r>
        <w:rPr>
          <w:rFonts w:ascii="Times New Roman;Times;serif" w:hAnsi="Times New Roman;Times;serif"/>
          <w:spacing w:val="17"/>
          <w:sz w:val="20"/>
        </w:rPr>
        <w:t xml:space="preserve"> </w:t>
      </w:r>
      <w:r>
        <w:rPr>
          <w:rFonts w:ascii="Times New Roman;Times;serif" w:hAnsi="Times New Roman;Times;serif"/>
          <w:sz w:val="20"/>
        </w:rPr>
        <w:t>in</w:t>
      </w:r>
      <w:r>
        <w:rPr>
          <w:rFonts w:ascii="Times New Roman;Times;serif" w:hAnsi="Times New Roman;Times;serif"/>
          <w:spacing w:val="17"/>
          <w:sz w:val="20"/>
        </w:rPr>
        <w:t xml:space="preserve"> </w:t>
      </w:r>
      <w:r>
        <w:rPr>
          <w:rFonts w:ascii="Times New Roman;Times;serif" w:hAnsi="Times New Roman;Times;serif"/>
          <w:sz w:val="20"/>
        </w:rPr>
        <w:t>effect</w:t>
      </w:r>
      <w:r>
        <w:rPr>
          <w:rFonts w:ascii="Times New Roman;Times;serif" w:hAnsi="Times New Roman;Times;serif"/>
          <w:spacing w:val="17"/>
          <w:sz w:val="20"/>
        </w:rPr>
        <w:t xml:space="preserve"> </w:t>
      </w:r>
      <w:r>
        <w:rPr>
          <w:rFonts w:ascii="Times New Roman;Times;serif" w:hAnsi="Times New Roman;Times;serif"/>
          <w:sz w:val="20"/>
        </w:rPr>
        <w:t>at</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time</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19"/>
          <w:sz w:val="20"/>
        </w:rPr>
        <w:t xml:space="preserve"> </w:t>
      </w:r>
      <w:r>
        <w:rPr>
          <w:rFonts w:ascii="Times New Roman;Times;serif" w:hAnsi="Times New Roman;Times;serif"/>
          <w:sz w:val="20"/>
        </w:rPr>
        <w:t>grant</w:t>
      </w:r>
      <w:r>
        <w:rPr>
          <w:rFonts w:ascii="Times New Roman;Times;serif" w:hAnsi="Times New Roman;Times;serif"/>
          <w:spacing w:val="19"/>
          <w:sz w:val="20"/>
        </w:rPr>
        <w:t xml:space="preserve"> </w:t>
      </w:r>
      <w:r>
        <w:rPr>
          <w:rFonts w:ascii="Times New Roman;Times;serif" w:hAnsi="Times New Roman;Times;serif"/>
          <w:sz w:val="20"/>
        </w:rPr>
        <w:t>for</w:t>
      </w:r>
      <w:r>
        <w:rPr>
          <w:rFonts w:ascii="Times New Roman;Times;serif" w:hAnsi="Times New Roman;Times;serif"/>
          <w:spacing w:val="19"/>
          <w:sz w:val="20"/>
        </w:rPr>
        <w:t xml:space="preserve"> </w:t>
      </w:r>
      <w:r>
        <w:rPr>
          <w:rFonts w:ascii="Times New Roman;Times;serif" w:hAnsi="Times New Roman;Times;serif"/>
          <w:sz w:val="20"/>
        </w:rPr>
        <w:t>instruments</w:t>
      </w:r>
      <w:r>
        <w:rPr>
          <w:rFonts w:ascii="Times New Roman;Times;serif" w:hAnsi="Times New Roman;Times;serif"/>
          <w:spacing w:val="18"/>
          <w:sz w:val="20"/>
        </w:rPr>
        <w:t xml:space="preserve"> </w:t>
      </w:r>
      <w:r>
        <w:rPr>
          <w:rFonts w:ascii="Times New Roman;Times;serif" w:hAnsi="Times New Roman;Times;serif"/>
          <w:sz w:val="20"/>
        </w:rPr>
        <w:t>with</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similar</w:t>
      </w:r>
      <w:r>
        <w:rPr>
          <w:rFonts w:ascii="Times New Roman;Times;serif" w:hAnsi="Times New Roman;Times;serif"/>
          <w:spacing w:val="19"/>
          <w:sz w:val="20"/>
        </w:rPr>
        <w:t xml:space="preserve"> </w:t>
      </w:r>
      <w:r>
        <w:rPr>
          <w:rFonts w:ascii="Times New Roman;Times;serif" w:hAnsi="Times New Roman;Times;serif"/>
          <w:sz w:val="20"/>
        </w:rPr>
        <w:t>expected</w:t>
      </w:r>
      <w:r>
        <w:rPr>
          <w:rFonts w:ascii="Times New Roman;Times;serif" w:hAnsi="Times New Roman;Times;serif"/>
          <w:spacing w:val="18"/>
          <w:sz w:val="20"/>
        </w:rPr>
        <w:t xml:space="preserve"> </w:t>
      </w:r>
      <w:r>
        <w:rPr>
          <w:rFonts w:ascii="Times New Roman;Times;serif" w:hAnsi="Times New Roman;Times;serif"/>
          <w:sz w:val="20"/>
        </w:rPr>
        <w:t>life.</w:t>
      </w:r>
      <w:r>
        <w:rPr>
          <w:rFonts w:ascii="Times New Roman;Times;serif" w:hAnsi="Times New Roman;Times;serif"/>
          <w:spacing w:val="18"/>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Company</w:t>
      </w:r>
      <w:r>
        <w:rPr>
          <w:rFonts w:ascii="Times New Roman;Times;serif" w:hAnsi="Times New Roman;Times;serif"/>
          <w:spacing w:val="18"/>
          <w:sz w:val="20"/>
        </w:rPr>
        <w:t xml:space="preserve"> </w:t>
      </w:r>
      <w:r>
        <w:rPr>
          <w:rFonts w:ascii="Times New Roman;Times;serif" w:hAnsi="Times New Roman;Times;serif"/>
          <w:sz w:val="20"/>
        </w:rPr>
        <w:t>utilizes</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dividend</w:t>
      </w:r>
      <w:r>
        <w:rPr>
          <w:rFonts w:ascii="Times New Roman;Times;serif" w:hAnsi="Times New Roman;Times;serif"/>
          <w:spacing w:val="19"/>
          <w:sz w:val="20"/>
        </w:rPr>
        <w:t xml:space="preserve"> </w:t>
      </w:r>
      <w:r>
        <w:rPr>
          <w:rFonts w:ascii="Times New Roman;Times;serif" w:hAnsi="Times New Roman;Times;serif"/>
          <w:sz w:val="20"/>
        </w:rPr>
        <w:t>yield</w:t>
      </w:r>
      <w:r>
        <w:rPr>
          <w:rFonts w:ascii="Times New Roman;Times;serif" w:hAnsi="Times New Roman;Times;serif"/>
          <w:spacing w:val="19"/>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zero</w:t>
      </w:r>
      <w:r>
        <w:rPr>
          <w:rFonts w:ascii="Times New Roman;Times;serif" w:hAnsi="Times New Roman;Times;serif"/>
          <w:spacing w:val="22"/>
          <w:sz w:val="20"/>
        </w:rPr>
        <w:t xml:space="preserve"> </w:t>
      </w:r>
      <w:r>
        <w:rPr>
          <w:rFonts w:ascii="Times New Roman;Times;serif" w:hAnsi="Times New Roman;Times;serif"/>
          <w:sz w:val="20"/>
        </w:rPr>
        <w:t>based</w:t>
      </w:r>
      <w:r>
        <w:rPr>
          <w:rFonts w:ascii="Times New Roman;Times;serif" w:hAnsi="Times New Roman;Times;serif"/>
          <w:spacing w:val="27"/>
          <w:sz w:val="20"/>
        </w:rPr>
        <w:t xml:space="preserve"> </w:t>
      </w:r>
      <w:r>
        <w:rPr>
          <w:rFonts w:ascii="Times New Roman;Times;serif" w:hAnsi="Times New Roman;Times;serif"/>
          <w:sz w:val="20"/>
        </w:rPr>
        <w:t>on</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fact</w:t>
      </w:r>
      <w:r>
        <w:rPr>
          <w:rFonts w:ascii="Times New Roman;Times;serif" w:hAnsi="Times New Roman;Times;serif"/>
          <w:spacing w:val="27"/>
          <w:sz w:val="20"/>
        </w:rPr>
        <w:t xml:space="preserve"> </w:t>
      </w:r>
      <w:r>
        <w:rPr>
          <w:rFonts w:ascii="Times New Roman;Times;serif" w:hAnsi="Times New Roman;Times;serif"/>
          <w:sz w:val="20"/>
        </w:rPr>
        <w:t>that</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has</w:t>
      </w:r>
      <w:r>
        <w:rPr>
          <w:rFonts w:ascii="Times New Roman;Times;serif" w:hAnsi="Times New Roman;Times;serif"/>
          <w:spacing w:val="27"/>
          <w:sz w:val="20"/>
        </w:rPr>
        <w:t xml:space="preserve"> </w:t>
      </w:r>
      <w:r>
        <w:rPr>
          <w:rFonts w:ascii="Times New Roman;Times;serif" w:hAnsi="Times New Roman;Times;serif"/>
          <w:sz w:val="20"/>
        </w:rPr>
        <w:t>never paid cash dividends and, at present, has no intention to pay cash dividends.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Accounting Standards Codification (“ASC”) 606, Revenue from Contracts with Customers, the Company recognizes revenue when its customers obtain control of promised goods or services, in an amount that reflects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68" w:name="_Hlk164687621"/>
      <w:bookmarkEnd w:id="468"/>
      <w:r>
        <w:rPr>
          <w:rFonts w:ascii="Times New Roman;Times;serif" w:hAnsi="Times New Roman;Times;serif"/>
          <w:sz w:val="20"/>
        </w:rPr>
        <w:t>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lineRule="atLeast" w:line="239" w:before="0" w:after="0"/>
        <w:ind w:left="0" w:right="0" w:hanging="0"/>
        <w:jc w:val="left"/>
        <w:rPr/>
      </w:pPr>
      <w:r>
        <w:rPr/>
        <w:t>​</w:t>
      </w:r>
    </w:p>
    <w:p>
      <w:pPr>
        <w:pStyle w:val="TextBody"/>
        <w:bidi w:val="0"/>
        <w:spacing w:before="0" w:after="0"/>
        <w:ind w:left="0" w:right="2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our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lineRule="atLeast" w:line="184"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0"/>
        <w:ind w:left="0" w:right="0" w:hanging="0"/>
        <w:jc w:val="both"/>
        <w:rPr/>
      </w:pPr>
      <w:r>
        <w:rPr/>
        <w:t>​</w:t>
      </w:r>
    </w:p>
    <w:p>
      <w:pPr>
        <w:pStyle w:val="TextBody"/>
        <w:bidi w:val="0"/>
        <w:spacing w:before="0" w:after="0"/>
        <w:ind w:left="0" w:right="20" w:hanging="0"/>
        <w:jc w:val="both"/>
        <w:rPr>
          <w:rFonts w:ascii="Times New Roman;Times;serif" w:hAnsi="Times New Roman;Times;serif"/>
          <w:sz w:val="20"/>
        </w:rPr>
      </w:pPr>
      <w:r>
        <w:rPr>
          <w:rFonts w:ascii="Times New Roman;Times;serif" w:hAnsi="Times New Roman;Times;serif"/>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0"/>
        <w:ind w:left="0" w:right="0" w:hanging="0"/>
        <w:jc w:val="both"/>
        <w:rPr/>
      </w:pPr>
      <w:r>
        <w:rPr/>
        <w:t>​</w:t>
      </w:r>
    </w:p>
    <w:p>
      <w:pPr>
        <w:pStyle w:val="TextBody"/>
        <w:bidi w:val="0"/>
        <w:spacing w:before="0" w:after="120"/>
        <w:ind w:left="0" w:right="86"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Product Revenue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September 20, 2022, the FDA approved PEDMARK</w:t>
      </w:r>
      <w:r>
        <w:rPr>
          <w:rFonts w:ascii="Times New Roman;Times;serif" w:hAnsi="Times New Roman;Times;serif"/>
          <w:sz w:val="15"/>
        </w:rPr>
        <w:t>®</w:t>
      </w:r>
      <w:r>
        <w:rPr>
          <w:rFonts w:ascii="Times New Roman;Times;serif" w:hAnsi="Times New Roman;Times;serif"/>
          <w:sz w:val="20"/>
        </w:rPr>
        <w:t xml:space="preserve"> in the United States to reduce the risk of ototoxicity associated with cisplatin in pediatric patients one month of age and older with localized, non-metastatic solid tumors. PEDMARK</w:t>
      </w:r>
      <w:r>
        <w:rPr>
          <w:rFonts w:ascii="Times New Roman;Times;serif" w:hAnsi="Times New Roman;Times;serif"/>
          <w:sz w:val="15"/>
        </w:rPr>
        <w:t>®</w:t>
      </w:r>
      <w:r>
        <w:rPr>
          <w:rFonts w:ascii="Times New Roman;Times;serif" w:hAnsi="Times New Roman;Times;serif"/>
          <w:sz w:val="20"/>
        </w:rPr>
        <w:t xml:space="preserve"> became commercially available on October 17, 2022. PEDMARK</w:t>
      </w:r>
      <w:r>
        <w:rPr>
          <w:rFonts w:ascii="Times New Roman;Times;serif" w:hAnsi="Times New Roman;Times;serif"/>
          <w:sz w:val="15"/>
        </w:rPr>
        <w:t>®</w:t>
      </w:r>
      <w:r>
        <w:rPr>
          <w:rFonts w:ascii="Times New Roman;Times;serif" w:hAnsi="Times New Roman;Times;serif"/>
          <w:sz w:val="20"/>
        </w:rPr>
        <w:t xml:space="preserve"> is the Company’s first commercial product. These specialty distributors subsequently resell the Company’s products to health care providers and patients. In addition to distribution agreements with customers, the Company enters into arrangements with health care providers and payors that provide for government-mandated and/or privately- 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 Sales Discounts and Allowances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U.S. based revenues from product sales at the net sales price (transaction price), which includes estimates of variable consideration for which reserves are established primarily from discounts, chargebacks, rebates, co-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bookmarkStart w:id="469" w:name="Other_Customer_Credits"/>
      <w:bookmarkStart w:id="470" w:name="Co-payment_Assistance"/>
      <w:bookmarkStart w:id="471" w:name="Rebates"/>
      <w:bookmarkStart w:id="472" w:name="Significant_Accounting_Policies_-_Additi"/>
      <w:bookmarkEnd w:id="469"/>
      <w:bookmarkEnd w:id="470"/>
      <w:bookmarkEnd w:id="471"/>
      <w:bookmarkEnd w:id="472"/>
      <w:r>
        <w:rPr>
          <w:rFonts w:ascii="Times New Roman;Times;serif" w:hAnsi="Times New Roman;Times;serif"/>
          <w:sz w:val="20"/>
        </w:rPr>
        <w:t>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a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utilizes select distributors to introduce its product into global markets. These distributors take on the function of shipping, storage, marketing and other services related to the sale of our product. </w:t>
      </w:r>
      <w:r>
        <w:rPr>
          <w:rFonts w:ascii="Times New Roman;Times;serif" w:hAnsi="Times New Roman;Times;serif"/>
          <w:sz w:val="20"/>
          <w:shd w:fill="FFFFFF" w:val="clear"/>
        </w:rPr>
        <w:t>We record distribution and other fees paid to these distributors as a reduction of revenue, unless the payment is for a distinct good or service from the customer and we can reasonably estimate the fair value of the goods or services received. If both conditions are met, we record the consideration paid to the distributor as an operating expense. These costs are typically known at the time of sale, resulting in minimal adjustments subsequent to the period of sale.</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Chargebacks are discounts that occur when contracted customers purchase directly from a specialty 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Discounts for Prompt Payment:</w:t>
      </w:r>
      <w:r>
        <w:rPr>
          <w:rFonts w:ascii="Times New Roman;Times;serif" w:hAnsi="Times New Roman;Times;serif"/>
          <w:sz w:val="20"/>
        </w:rPr>
        <w:t xml:space="preserve"> The Customers receive a discount of for prompt payment which may range from 0.5% to 2.0%. The Company expects its customers will earn 100% of their prompt payment discounts and, therefore, the Company deducts the full amount of these discounts from total product sales when revenues are recognized.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xml:space="preserve"> Allowances for rebates include mandated discounts under the Medicaid Drug Rebate Program and other 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payer data received from the specialty distributors and historical utilization rates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Co-payment Assistance:</w:t>
      </w:r>
      <w:r>
        <w:rPr>
          <w:rFonts w:ascii="Times New Roman;Times;serif" w:hAnsi="Times New Roman;Times;serif"/>
          <w:sz w:val="20"/>
        </w:rPr>
        <w:t xml:space="preserve"> 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Other Customer Credits:</w:t>
      </w:r>
      <w:r>
        <w:rPr>
          <w:rFonts w:ascii="Times New Roman;Times;serif" w:hAnsi="Times New Roman;Times;serif"/>
          <w:sz w:val="20"/>
        </w:rPr>
        <w:t xml:space="preserve"> The Company pays fees to its customers for account management, data management and other administrative services. To the extent the services received are distinct from the sale of products to its customers, the Company classifies these payments in selling and marketing expenses in its Consolidated Statements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Distribution and Other Fees: </w:t>
      </w:r>
      <w:r>
        <w:rPr>
          <w:rFonts w:ascii="Times New Roman;Times;serif" w:hAnsi="Times New Roman;Times;serif"/>
          <w:sz w:val="20"/>
          <w:shd w:fill="FFFFFF" w:val="clear"/>
        </w:rPr>
        <w:t xml:space="preserve">We pay distribution and other fees to certain customers in connection with the sales of our products. We record distribution and other fees paid to our customers as a reduction of revenue, unless the payment is for a distinct good or service from the customer and we can reasonably estimate the fair value of the goods or services received.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73" w:name="Tc_YmkljGiVj068HYCfPsp7SA_10_8"/>
      <w:bookmarkStart w:id="474" w:name="Tc_psii9NRGfkWYbvDNt7xP0A_10_5"/>
      <w:bookmarkStart w:id="475" w:name="Tc_KpdsI_2ue0mlGTgcga9IqA_10_2"/>
      <w:bookmarkStart w:id="476" w:name="Tc_2DqLqDABqUaNOR5MkEHoRA_10_0"/>
      <w:bookmarkStart w:id="477" w:name="Tc_GWjAjQchSUCMGE9U0wReKg_9_0"/>
      <w:bookmarkStart w:id="478" w:name="Tc_NZzUcADKY0GAUGjN09DmRw_8_9"/>
      <w:bookmarkStart w:id="479" w:name="Tc_urhRtf9OT0ayJ6PYAq7c0w_8_6"/>
      <w:bookmarkStart w:id="480" w:name="Tc_HykQYxZjJUG-bokXScDG5Q_8_3"/>
      <w:bookmarkStart w:id="481" w:name="Tc_-gR-F06RA0KVQxCEkeyqEA_8_0"/>
      <w:bookmarkStart w:id="482" w:name="Tc_qsrAToTZi0SyHcNoMrAFEQ_7_0"/>
      <w:bookmarkStart w:id="483" w:name="Tc_nw-kLOOFI0K0Rs1HjbYmRg_6_0"/>
      <w:bookmarkStart w:id="484" w:name="Tc_mihLrUwT6UGIItIHam7pbg_5_8"/>
      <w:bookmarkStart w:id="485" w:name="Tc_Vf0MSOadcUWr6m3E_tBRiQ_5_5"/>
      <w:bookmarkStart w:id="486" w:name="Tc_8CVFBpJFfkmTZXUar0wWww_5_2"/>
      <w:bookmarkStart w:id="487" w:name="Tc_G2itvAvuS0amk2IPISTRNw_5_0"/>
      <w:bookmarkStart w:id="488" w:name="Tc_7Am2InW2YE6uoACf4sJm-g_4_8"/>
      <w:bookmarkStart w:id="489" w:name="Tc_3wuSK_WAT0OclzO5ukutmA_4_5"/>
      <w:bookmarkStart w:id="490" w:name="Tc_Uoy96s7iEUW_BskZ_QXZBA_4_2"/>
      <w:bookmarkStart w:id="491" w:name="Tc_ipsdJv7mbUuSihlp98uaEw_4_0"/>
      <w:bookmarkStart w:id="492" w:name="Tc_LsFWowKs5U6sAfNj-NN4zA_3_5"/>
      <w:bookmarkStart w:id="493" w:name="Tc_ZX1FAgkH8E2tF5lv1t7Ymg_3_2"/>
      <w:bookmarkStart w:id="494" w:name="Tc_aSY-MFYf40-6t-M4njQdmg_2_5"/>
      <w:bookmarkStart w:id="495" w:name="Tc_iJW3sqBn2Ee-QU90DqfjBw_2_2"/>
      <w:bookmarkStart w:id="496" w:name="Tc_6iqYXhEaZkWACldID1NOzg_1_5"/>
      <w:bookmarkStart w:id="497" w:name="Tc_urB4t5cRu0aap5z7QqCClQ_1_2"/>
      <w:bookmarkStart w:id="498" w:name="Tc_nv0Br4cae0SqZil5VrFAhg_7_5"/>
      <w:bookmarkStart w:id="499" w:name="Tc_nUxZGYEzbEiPunfD1z4EUQ_7_2"/>
      <w:bookmarkStart w:id="500" w:name="Tc_KeVtlBJRMkOhnTgJSihFVQ_7_0"/>
      <w:bookmarkStart w:id="501" w:name="Tc_xCWOnlqLGUm1Iq1unZxcvw_6_0"/>
      <w:bookmarkStart w:id="502" w:name="Tc_Eu-DdtAYck-Kj0voB00CWg_5_5"/>
      <w:bookmarkStart w:id="503" w:name="Tc_UeT4lPNZlU2-jesgOP6QyQ_5_2"/>
      <w:bookmarkStart w:id="504" w:name="Tc_6XtI2CU6JkiLdjxtmVEiqw_5_0"/>
      <w:bookmarkStart w:id="505" w:name="Tc_xDNzaCvviUW2UxxeSjhbEg_4_0"/>
      <w:bookmarkStart w:id="506" w:name="Tc_pz3yXXjnf0iVJ0PocfDA_w_3_5"/>
      <w:bookmarkStart w:id="507" w:name="Tc_uxb8tFcGC060hKWrdjfM0Q_3_2"/>
      <w:bookmarkStart w:id="508" w:name="Tc_J7uGvNWW2UCXsH0JPp107A_3_0"/>
      <w:bookmarkStart w:id="509" w:name="Tc_iC_YfF863kWP5JwVWdKEUA_2_5"/>
      <w:bookmarkStart w:id="510" w:name="Tc_2_fek1QPrUi-jveskiyDrg_2_2"/>
      <w:bookmarkStart w:id="511" w:name="Tc_Ly4u_64WaEGeVGCfZwYVDw_1_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ascii="Times New Roman;Times;serif" w:hAnsi="Times New Roman;Times;serif"/>
          <w:sz w:val="20"/>
          <w:shd w:fill="FFFFFF" w:val="clear"/>
        </w:rPr>
        <w:t>If both conditions are met, we record the consideration paid to the customer as an operating expense. These costs are typically known at the time of sale, resulting in minimal adjustments subsequent to the period of sale</w:t>
      </w:r>
      <w:r>
        <w:rPr>
          <w:rFonts w:ascii="Times New Roman;Times;serif" w:hAnsi="Times New Roman;Times;serif"/>
          <w:sz w:val="20"/>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net product revenues for PEDMARK</w:t>
      </w:r>
      <w:r>
        <w:rPr>
          <w:rFonts w:ascii="Times New Roman;Times;serif" w:hAnsi="Times New Roman;Times;serif"/>
          <w:sz w:val="15"/>
        </w:rPr>
        <w:t>®</w:t>
      </w:r>
      <w:r>
        <w:rPr>
          <w:rFonts w:ascii="Times New Roman;Times;serif" w:hAnsi="Times New Roman;Times;serif"/>
          <w:sz w:val="20"/>
        </w:rPr>
        <w:t xml:space="preserve"> in the United States earned in the three months ended March 31, 2026 and 2025, respectively:</w:t>
      </w:r>
    </w:p>
    <w:p>
      <w:pPr>
        <w:pStyle w:val="TextBody"/>
        <w:bidi w:val="0"/>
        <w:spacing w:before="0" w:after="0"/>
        <w:ind w:left="0" w:right="0" w:hanging="0"/>
        <w:jc w:val="left"/>
        <w:rPr/>
      </w:pPr>
      <w:r>
        <w:rPr/>
        <w:t>​</w:t>
      </w:r>
    </w:p>
    <w:tbl>
      <w:tblPr>
        <w:tblW w:w="4523" w:type="dxa"/>
        <w:jc w:val="left"/>
        <w:tblInd w:w="0" w:type="dxa"/>
        <w:tblLayout w:type="fixed"/>
        <w:tblCellMar>
          <w:top w:w="0" w:type="dxa"/>
          <w:left w:w="0" w:type="dxa"/>
          <w:bottom w:w="0" w:type="dxa"/>
          <w:right w:w="0" w:type="dxa"/>
        </w:tblCellMar>
      </w:tblPr>
      <w:tblGrid>
        <w:gridCol w:w="2221"/>
        <w:gridCol w:w="346"/>
        <w:gridCol w:w="214"/>
        <w:gridCol w:w="686"/>
        <w:gridCol w:w="109"/>
        <w:gridCol w:w="211"/>
        <w:gridCol w:w="73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10335" cy="175260"/>
                      <wp:effectExtent l="0" t="0" r="0" b="0"/>
                      <wp:wrapNone/>
                      <wp:docPr id="45" name="Frame4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890" cy="175260"/>
                      <wp:effectExtent l="0" t="0" r="0" b="0"/>
                      <wp:wrapNone/>
                      <wp:docPr id="47" name="Frame4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5610" cy="175260"/>
                      <wp:effectExtent l="0" t="0" r="0" b="0"/>
                      <wp:wrapNone/>
                      <wp:docPr id="48" name="Frame4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67360" cy="175260"/>
                      <wp:effectExtent l="0" t="0" r="0" b="0"/>
                      <wp:wrapNone/>
                      <wp:docPr id="51" name="Frame5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product revenues </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10,812</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Discounts and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(2,061)</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8,751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and 2025, the Company had four distributors that each represented more than 10% of net sales.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activities and ending allowance balances for each significant category of discounts and allowances for PEDMARK</w:t>
      </w:r>
      <w:r>
        <w:rPr>
          <w:rFonts w:ascii="Times New Roman;Times;serif" w:hAnsi="Times New Roman;Times;serif"/>
          <w:sz w:val="15"/>
        </w:rPr>
        <w:t>®</w:t>
      </w:r>
      <w:r>
        <w:rPr>
          <w:rFonts w:ascii="Times New Roman;Times;serif" w:hAnsi="Times New Roman;Times;serif"/>
          <w:sz w:val="20"/>
        </w:rPr>
        <w:t xml:space="preserve"> (which constitute variable consideration) for the three months ended March 31, 2026, was as follows:</w:t>
      </w:r>
    </w:p>
    <w:p>
      <w:pPr>
        <w:pStyle w:val="TextBody"/>
        <w:bidi w:val="0"/>
        <w:spacing w:before="0" w:after="0"/>
        <w:ind w:left="0" w:right="0" w:hanging="0"/>
        <w:jc w:val="left"/>
        <w:rPr/>
      </w:pPr>
      <w:r>
        <w:rPr/>
        <w:t>​</w:t>
      </w:r>
    </w:p>
    <w:tbl>
      <w:tblPr>
        <w:tblW w:w="7986" w:type="dxa"/>
        <w:jc w:val="left"/>
        <w:tblInd w:w="0" w:type="dxa"/>
        <w:tblLayout w:type="fixed"/>
        <w:tblCellMar>
          <w:top w:w="0" w:type="dxa"/>
          <w:left w:w="0" w:type="dxa"/>
          <w:bottom w:w="0" w:type="dxa"/>
          <w:right w:w="0" w:type="dxa"/>
        </w:tblCellMar>
      </w:tblPr>
      <w:tblGrid>
        <w:gridCol w:w="3166"/>
        <w:gridCol w:w="346"/>
        <w:gridCol w:w="415"/>
        <w:gridCol w:w="950"/>
        <w:gridCol w:w="346"/>
        <w:gridCol w:w="344"/>
        <w:gridCol w:w="1126"/>
        <w:gridCol w:w="346"/>
        <w:gridCol w:w="211"/>
        <w:gridCol w:w="73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10410" cy="175260"/>
                      <wp:effectExtent l="0" t="0" r="0" b="0"/>
                      <wp:wrapNone/>
                      <wp:docPr id="52" name="Frame5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3525" cy="175260"/>
                      <wp:effectExtent l="0" t="0" r="0" b="0"/>
                      <wp:wrapNone/>
                      <wp:docPr id="54"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03250" cy="175260"/>
                      <wp:effectExtent l="0" t="0" r="0" b="0"/>
                      <wp:wrapNone/>
                      <wp:docPr id="55" name="Frame55"/>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8440" cy="175260"/>
                      <wp:effectExtent l="0" t="0" r="0" b="0"/>
                      <wp:wrapNone/>
                      <wp:docPr id="57" name="Frame5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15010" cy="175260"/>
                      <wp:effectExtent l="0" t="0" r="0" b="0"/>
                      <wp:wrapNone/>
                      <wp:docPr id="58" name="Frame5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67360" cy="175260"/>
                      <wp:effectExtent l="0" t="0" r="0" b="0"/>
                      <wp:wrapNone/>
                      <wp:docPr id="61" name="Frame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Rebates, Customer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Discounts for</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Fees/Credits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Prompt pay and</w:t>
            </w:r>
          </w:p>
        </w:tc>
        <w:tc>
          <w:tcPr>
            <w:tcW w:w="346" w:type="dxa"/>
            <w:tcBorders/>
            <w:vAlign w:val="center"/>
          </w:tcPr>
          <w:p>
            <w:pPr>
              <w:pStyle w:val="TableContents"/>
              <w:bidi w:val="0"/>
              <w:spacing w:before="0" w:after="1"/>
              <w:ind w:left="0" w:right="0" w:hanging="0"/>
              <w:jc w:val="left"/>
              <w:rPr/>
            </w:pPr>
            <w:r>
              <w:rPr/>
              <w:t>​</w:t>
            </w:r>
          </w:p>
        </w:tc>
        <w:tc>
          <w:tcPr>
            <w:tcW w:w="14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Co-Pay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allowances</w:t>
            </w:r>
          </w:p>
        </w:tc>
        <w:tc>
          <w:tcPr>
            <w:tcW w:w="346" w:type="dxa"/>
            <w:tcBorders/>
            <w:vAlign w:val="center"/>
          </w:tcPr>
          <w:p>
            <w:pPr>
              <w:pStyle w:val="TableContents"/>
              <w:bidi w:val="0"/>
              <w:spacing w:before="0" w:after="1"/>
              <w:ind w:left="0" w:right="0" w:hanging="0"/>
              <w:jc w:val="left"/>
              <w:rPr/>
            </w:pPr>
            <w:r>
              <w:rPr/>
              <w:t>  ​ ​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Assistance</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1,900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577</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1,289</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34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44"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34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(824)</w:t>
            </w:r>
          </w:p>
        </w:tc>
        <w:tc>
          <w:tcPr>
            <w:tcW w:w="346" w:type="dxa"/>
            <w:tcBorders/>
            <w:shd w:fill="CCEEFF" w:val="clear"/>
            <w:vAlign w:val="center"/>
          </w:tcPr>
          <w:p>
            <w:pPr>
              <w:pStyle w:val="TableContents"/>
              <w:bidi w:val="0"/>
              <w:spacing w:before="0" w:after="1"/>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(2,020)</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346"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230</w:t>
            </w:r>
          </w:p>
        </w:tc>
        <w:tc>
          <w:tcPr>
            <w:tcW w:w="346" w:type="dxa"/>
            <w:tcBorders/>
            <w:vAlign w:val="center"/>
          </w:tcPr>
          <w:p>
            <w:pPr>
              <w:pStyle w:val="TableContents"/>
              <w:bidi w:val="0"/>
              <w:spacing w:before="0" w:after="1"/>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1,169</w:t>
            </w:r>
          </w:p>
        </w:tc>
      </w:tr>
    </w:tbl>
    <w:p>
      <w:pPr>
        <w:pStyle w:val="TextBody"/>
        <w:bidi w:val="0"/>
        <w:spacing w:before="0" w:after="0"/>
        <w:ind w:left="0" w:right="0" w:hanging="0"/>
        <w:jc w:val="left"/>
        <w:rPr/>
      </w:pPr>
      <w:r>
        <w:rPr/>
        <w:t>​</w:t>
      </w:r>
    </w:p>
    <w:p>
      <w:pPr>
        <w:pStyle w:val="TextBody"/>
        <w:bidi w:val="0"/>
        <w:spacing w:lineRule="auto" w:line="288" w:before="82" w:after="240"/>
        <w:ind w:left="0" w:right="143" w:hanging="0"/>
        <w:jc w:val="both"/>
        <w:rPr>
          <w:rFonts w:ascii="Times New Roman;Times;serif" w:hAnsi="Times New Roman;Times;serif"/>
          <w:sz w:val="20"/>
        </w:rPr>
      </w:pPr>
      <w:r>
        <w:rPr>
          <w:rFonts w:ascii="Times New Roman;Times;serif" w:hAnsi="Times New Roman;Times;serif"/>
          <w:sz w:val="20"/>
        </w:rPr>
        <w:t>The allowances for chargebacks, fees due to customers, rebates and discounts for prompt payment are recorded as a contra-asset to accounts receivable, while Medicaid rebates and return allowances are in accrued liabilities in the accompanying consolidated balance</w:t>
      </w:r>
      <w:r>
        <w:rPr>
          <w:rFonts w:ascii="Times New Roman;Times;serif" w:hAnsi="Times New Roman;Times;serif"/>
          <w:spacing w:val="40"/>
          <w:sz w:val="20"/>
        </w:rPr>
        <w:t xml:space="preserve"> </w:t>
      </w:r>
      <w:r>
        <w:rPr>
          <w:rFonts w:ascii="Times New Roman;Times;serif" w:hAnsi="Times New Roman;Times;serif"/>
          <w:sz w:val="20"/>
        </w:rPr>
        <w:t>sheets.</w:t>
      </w:r>
    </w:p>
    <w:p>
      <w:pPr>
        <w:pStyle w:val="TextBody"/>
        <w:bidi w:val="0"/>
        <w:spacing w:lineRule="auto" w:line="288" w:before="82" w:after="240"/>
        <w:ind w:left="0" w:right="143" w:hanging="0"/>
        <w:jc w:val="both"/>
        <w:rPr>
          <w:rFonts w:ascii="Times New Roman;Times;serif" w:hAnsi="Times New Roman;Times;serif"/>
          <w:b/>
          <w:spacing w:val="-2"/>
          <w:sz w:val="20"/>
        </w:rPr>
      </w:pPr>
      <w:r>
        <w:rPr>
          <w:rFonts w:ascii="Times New Roman;Times;serif" w:hAnsi="Times New Roman;Times;serif"/>
          <w:b/>
          <w:spacing w:val="-2"/>
          <w:sz w:val="20"/>
        </w:rPr>
        <w:t>Trade Receivables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gross trade</w:t>
      </w:r>
      <w:r>
        <w:rPr>
          <w:rFonts w:ascii="Times New Roman;Times;serif" w:hAnsi="Times New Roman;Times;serif"/>
          <w:spacing w:val="40"/>
          <w:sz w:val="20"/>
        </w:rPr>
        <w:t xml:space="preserve"> </w:t>
      </w:r>
      <w:r>
        <w:rPr>
          <w:rFonts w:ascii="Times New Roman;Times;serif" w:hAnsi="Times New Roman;Times;serif"/>
          <w:sz w:val="20"/>
        </w:rPr>
        <w:t>receivables at the time of product sale to its customers, both specialty and other select global distributors. Trade accounts receivable are recorded at the invoiced amount and are typically non-interest bearing. Amounts estimated for the associated</w:t>
      </w:r>
      <w:r>
        <w:rPr>
          <w:rFonts w:ascii="Times New Roman;Times;serif" w:hAnsi="Times New Roman;Times;serif"/>
          <w:spacing w:val="40"/>
          <w:sz w:val="20"/>
        </w:rPr>
        <w:t xml:space="preserve"> </w:t>
      </w:r>
      <w:r>
        <w:rPr>
          <w:rFonts w:ascii="Times New Roman;Times;serif" w:hAnsi="Times New Roman;Times;serif"/>
          <w:sz w:val="20"/>
        </w:rPr>
        <w:t>chargebacks,</w:t>
      </w:r>
      <w:r>
        <w:rPr>
          <w:rFonts w:ascii="Times New Roman;Times;serif" w:hAnsi="Times New Roman;Times;serif"/>
          <w:spacing w:val="40"/>
          <w:sz w:val="20"/>
        </w:rPr>
        <w:t xml:space="preserve"> </w:t>
      </w:r>
      <w:r>
        <w:rPr>
          <w:rFonts w:ascii="Times New Roman;Times;serif" w:hAnsi="Times New Roman;Times;serif"/>
          <w:sz w:val="20"/>
        </w:rPr>
        <w:t>cash</w:t>
      </w:r>
      <w:r>
        <w:rPr>
          <w:rFonts w:ascii="Times New Roman;Times;serif" w:hAnsi="Times New Roman;Times;serif"/>
          <w:spacing w:val="40"/>
          <w:sz w:val="20"/>
        </w:rPr>
        <w:t xml:space="preserve"> </w:t>
      </w:r>
      <w:r>
        <w:rPr>
          <w:rFonts w:ascii="Times New Roman;Times;serif" w:hAnsi="Times New Roman;Times;serif"/>
          <w:sz w:val="20"/>
        </w:rPr>
        <w:t>discounts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prompt</w:t>
      </w:r>
      <w:r>
        <w:rPr>
          <w:rFonts w:ascii="Times New Roman;Times;serif" w:hAnsi="Times New Roman;Times;serif"/>
          <w:spacing w:val="40"/>
          <w:sz w:val="20"/>
        </w:rPr>
        <w:t xml:space="preserve"> </w:t>
      </w:r>
      <w:r>
        <w:rPr>
          <w:rFonts w:ascii="Times New Roman;Times;serif" w:hAnsi="Times New Roman;Times;serif"/>
          <w:sz w:val="20"/>
        </w:rPr>
        <w:t>payment</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allowances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losses are booked as a reserve against accounts receivable and reduction of revenue.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 determines its allowance methodology by pooling receivable balances at the customer level. The Company considers various factors, including loss history, individual credit risk associated with each customer, and the current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For customers that are large specialty distributors, the Company considered the risk of potential credit losses to be low. Sales to other select global distributors have increased potential for losses. The Company evaluates the risk of credit losses on sales on an individual basis using the above-mentioned criteria. Accounts receivable that are expected to be received past 12 months are recorded as non-current accounts receivable. The Company has determined any financing component of non-current receivables to be immaterial. The Company had a balance in allowance for credit losses of $5,986 as of March 31,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8" w:before="0" w:after="240"/>
        <w:ind w:left="0" w:right="144" w:hanging="0"/>
        <w:jc w:val="both"/>
        <w:rPr>
          <w:rFonts w:ascii="Times New Roman;Times;serif" w:hAnsi="Times New Roman;Times;serif"/>
          <w:b/>
          <w:sz w:val="20"/>
        </w:rPr>
      </w:pPr>
      <w:r>
        <w:rPr>
          <w:rFonts w:ascii="Times New Roman;Times;serif" w:hAnsi="Times New Roman;Times;serif"/>
          <w:b/>
          <w:sz w:val="20"/>
        </w:rPr>
        <w:t>Cost of Products Sold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Cost of products sold is related to the Company's product revenues for PEDMARK</w:t>
      </w:r>
      <w:r>
        <w:rPr>
          <w:rFonts w:ascii="Times New Roman;Times;serif" w:hAnsi="Times New Roman;Times;serif"/>
          <w:sz w:val="15"/>
        </w:rPr>
        <w:t>®</w:t>
      </w:r>
      <w:r>
        <w:rPr>
          <w:rFonts w:ascii="Times New Roman;Times;serif" w:hAnsi="Times New Roman;Times;serif"/>
          <w:sz w:val="20"/>
        </w:rPr>
        <w:t xml:space="preserve"> and consists primarily of product production costs associated with finished goods inventory. Cost of products sold also consists of shipping and other third-party logistics and distribution costs for the Company’s product. As of March 31, 2026, the Company capitalized $1,856 of costs as inventory on the condensed consolidated balance sheet. Of the items capitalized, $1,769 was capitalized as work in process and raw materials, and $87 was capitalized as finished goods.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consist of highly liquid investments with original maturities at the date of purchase of three months or less.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its cash and cash equivalents in investments held by highly rated financial institutions in accordance with its investment policy designed to protect the principal investment. As of March 31, 2026, the Company had $40,179 in cash, savings and money market accounts ($36,788 at December 31, 2025). Money market investments typically have minimal risks. While the Company has not experienced any loss or write-down of its money market investments, the amounts it holds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recognized on the balance sheets at March 31, 2026 and December 31, 2025 consist of cash and cash equivalents, accounts receivable, accounts payable and accrued liabilities, the carrying values of which approximate fair value due to their relatively short time to maturity or interest rates that approximate market interest rates. The Company does not hold or issue financial instruments for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policy risks are primarily the opportunity cost of the conservative nature of the allowable investments. The Company has chosen to avoid investments of a trading or speculative nature to preserve cash.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Costs and Investment Tax Credits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conducts certain research and development activities under clinical trial and other research agreements with third parties and records expenses for these activities based on estimates of the work performed during the reporting period. In developing these estimates, the Company considers factors such as the terms of the underlying contracts, progress of patient visits and related clinical procedures, the achievement of contractual milestones, and data received from CROs and other service providers, and adjusts accruals as actual information becomes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Concentrations of Credit Risk</w:t>
      </w:r>
    </w:p>
    <w:p>
      <w:pPr>
        <w:pStyle w:val="TextBody"/>
        <w:bidi w:val="0"/>
        <w:spacing w:lineRule="auto" w:line="288" w:before="119" w:after="240"/>
        <w:ind w:left="0" w:right="144"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credit risk primarily consist of cash and cash equivalents, and</w:t>
      </w:r>
      <w:r>
        <w:rPr>
          <w:rFonts w:ascii="Times New Roman;Times;serif" w:hAnsi="Times New Roman;Times;serif"/>
          <w:spacing w:val="40"/>
          <w:sz w:val="20"/>
        </w:rPr>
        <w:t xml:space="preserve"> </w:t>
      </w:r>
      <w:r>
        <w:rPr>
          <w:rFonts w:ascii="Times New Roman;Times;serif" w:hAnsi="Times New Roman;Times;serif"/>
          <w:sz w:val="20"/>
        </w:rPr>
        <w:t>accounts</w:t>
      </w:r>
      <w:r>
        <w:rPr>
          <w:rFonts w:ascii="Times New Roman;Times;serif" w:hAnsi="Times New Roman;Times;serif"/>
          <w:spacing w:val="31"/>
          <w:sz w:val="20"/>
        </w:rPr>
        <w:t xml:space="preserve"> </w:t>
      </w:r>
      <w:r>
        <w:rPr>
          <w:rFonts w:ascii="Times New Roman;Times;serif" w:hAnsi="Times New Roman;Times;serif"/>
          <w:sz w:val="20"/>
        </w:rPr>
        <w:t>receivable.</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maintains</w:t>
      </w:r>
      <w:r>
        <w:rPr>
          <w:rFonts w:ascii="Times New Roman;Times;serif" w:hAnsi="Times New Roman;Times;serif"/>
          <w:spacing w:val="31"/>
          <w:sz w:val="20"/>
        </w:rPr>
        <w:t xml:space="preserve"> </w:t>
      </w:r>
      <w:r>
        <w:rPr>
          <w:rFonts w:ascii="Times New Roman;Times;serif" w:hAnsi="Times New Roman;Times;serif"/>
          <w:sz w:val="20"/>
        </w:rPr>
        <w:t>deposits</w:t>
      </w:r>
      <w:r>
        <w:rPr>
          <w:rFonts w:ascii="Times New Roman;Times;serif" w:hAnsi="Times New Roman;Times;serif"/>
          <w:spacing w:val="31"/>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highly-rated,</w:t>
      </w:r>
      <w:r>
        <w:rPr>
          <w:rFonts w:ascii="Times New Roman;Times;serif" w:hAnsi="Times New Roman;Times;serif"/>
          <w:spacing w:val="31"/>
          <w:sz w:val="20"/>
        </w:rPr>
        <w:t xml:space="preserve"> </w:t>
      </w:r>
      <w:r>
        <w:rPr>
          <w:rFonts w:ascii="Times New Roman;Times;serif" w:hAnsi="Times New Roman;Times;serif"/>
          <w:sz w:val="20"/>
        </w:rPr>
        <w:t>federally-insured</w:t>
      </w:r>
      <w:r>
        <w:rPr>
          <w:rFonts w:ascii="Times New Roman;Times;serif" w:hAnsi="Times New Roman;Times;serif"/>
          <w:spacing w:val="31"/>
          <w:sz w:val="20"/>
        </w:rPr>
        <w:t xml:space="preserve"> </w:t>
      </w:r>
      <w:r>
        <w:rPr>
          <w:rFonts w:ascii="Times New Roman;Times;serif" w:hAnsi="Times New Roman;Times;serif"/>
          <w:sz w:val="20"/>
        </w:rPr>
        <w:t>financial</w:t>
      </w:r>
      <w:r>
        <w:rPr>
          <w:rFonts w:ascii="Times New Roman;Times;serif" w:hAnsi="Times New Roman;Times;serif"/>
          <w:spacing w:val="31"/>
          <w:sz w:val="20"/>
        </w:rPr>
        <w:t xml:space="preserve"> </w:t>
      </w:r>
      <w:r>
        <w:rPr>
          <w:rFonts w:ascii="Times New Roman;Times;serif" w:hAnsi="Times New Roman;Times;serif"/>
          <w:sz w:val="20"/>
        </w:rPr>
        <w:t>institutions</w:t>
      </w:r>
      <w:r>
        <w:rPr>
          <w:rFonts w:ascii="Times New Roman;Times;serif" w:hAnsi="Times New Roman;Times;serif"/>
          <w:spacing w:val="31"/>
          <w:sz w:val="20"/>
        </w:rPr>
        <w:t xml:space="preserve"> </w:t>
      </w:r>
      <w:r>
        <w:rPr>
          <w:rFonts w:ascii="Times New Roman;Times;serif" w:hAnsi="Times New Roman;Times;serif"/>
          <w:sz w:val="20"/>
        </w:rPr>
        <w:t>in</w:t>
      </w:r>
      <w:r>
        <w:rPr>
          <w:rFonts w:ascii="Times New Roman;Times;serif" w:hAnsi="Times New Roman;Times;serif"/>
          <w:spacing w:val="31"/>
          <w:sz w:val="20"/>
        </w:rPr>
        <w:t xml:space="preserve"> </w:t>
      </w:r>
      <w:r>
        <w:rPr>
          <w:rFonts w:ascii="Times New Roman;Times;serif" w:hAnsi="Times New Roman;Times;serif"/>
          <w:sz w:val="20"/>
        </w:rPr>
        <w:t>excess</w:t>
      </w:r>
      <w:r>
        <w:rPr>
          <w:rFonts w:ascii="Times New Roman;Times;serif" w:hAnsi="Times New Roman;Times;serif"/>
          <w:spacing w:val="31"/>
          <w:sz w:val="20"/>
        </w:rPr>
        <w:t xml:space="preserve"> </w:t>
      </w:r>
      <w:r>
        <w:rPr>
          <w:rFonts w:ascii="Times New Roman;Times;serif" w:hAnsi="Times New Roman;Times;serif"/>
          <w:sz w:val="20"/>
        </w:rPr>
        <w:t>of</w:t>
      </w:r>
      <w:r>
        <w:rPr>
          <w:rFonts w:ascii="Times New Roman;Times;serif" w:hAnsi="Times New Roman;Times;serif"/>
          <w:spacing w:val="31"/>
          <w:sz w:val="20"/>
        </w:rPr>
        <w:t xml:space="preserve"> </w:t>
      </w:r>
      <w:r>
        <w:rPr>
          <w:rFonts w:ascii="Times New Roman;Times;serif" w:hAnsi="Times New Roman;Times;serif"/>
          <w:sz w:val="20"/>
        </w:rPr>
        <w:t>federally</w:t>
      </w:r>
      <w:r>
        <w:rPr>
          <w:rFonts w:ascii="Times New Roman;Times;serif" w:hAnsi="Times New Roman;Times;serif"/>
          <w:spacing w:val="31"/>
          <w:sz w:val="20"/>
        </w:rPr>
        <w:t xml:space="preserve"> </w:t>
      </w:r>
      <w:r>
        <w:rPr>
          <w:rFonts w:ascii="Times New Roman;Times;serif" w:hAnsi="Times New Roman;Times;serif"/>
          <w:sz w:val="20"/>
        </w:rPr>
        <w:t>insured</w:t>
      </w:r>
      <w:r>
        <w:rPr>
          <w:rFonts w:ascii="Times New Roman;Times;serif" w:hAnsi="Times New Roman;Times;serif"/>
          <w:spacing w:val="31"/>
          <w:sz w:val="20"/>
        </w:rPr>
        <w:t xml:space="preserve"> </w:t>
      </w:r>
      <w:r>
        <w:rPr>
          <w:rFonts w:ascii="Times New Roman;Times;serif" w:hAnsi="Times New Roman;Times;serif"/>
          <w:sz w:val="20"/>
        </w:rPr>
        <w:t>limits.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investment</w:t>
      </w:r>
      <w:r>
        <w:rPr>
          <w:rFonts w:ascii="Times New Roman;Times;serif" w:hAnsi="Times New Roman;Times;serif"/>
          <w:spacing w:val="40"/>
          <w:sz w:val="20"/>
        </w:rPr>
        <w:t xml:space="preserve"> </w:t>
      </w:r>
      <w:r>
        <w:rPr>
          <w:rFonts w:ascii="Times New Roman;Times;serif" w:hAnsi="Times New Roman;Times;serif"/>
          <w:sz w:val="20"/>
        </w:rPr>
        <w:t>strategy</w:t>
      </w:r>
      <w:r>
        <w:rPr>
          <w:rFonts w:ascii="Times New Roman;Times;serif" w:hAnsi="Times New Roman;Times;serif"/>
          <w:spacing w:val="40"/>
          <w:sz w:val="20"/>
        </w:rPr>
        <w:t xml:space="preserve"> </w:t>
      </w:r>
      <w:r>
        <w:rPr>
          <w:rFonts w:ascii="Times New Roman;Times;serif" w:hAnsi="Times New Roman;Times;serif"/>
          <w:sz w:val="20"/>
        </w:rPr>
        <w:t>is</w:t>
      </w:r>
      <w:r>
        <w:rPr>
          <w:rFonts w:ascii="Times New Roman;Times;serif" w:hAnsi="Times New Roman;Times;serif"/>
          <w:spacing w:val="40"/>
          <w:sz w:val="20"/>
        </w:rPr>
        <w:t xml:space="preserve"> </w:t>
      </w:r>
      <w:r>
        <w:rPr>
          <w:rFonts w:ascii="Times New Roman;Times;serif" w:hAnsi="Times New Roman;Times;serif"/>
          <w:sz w:val="20"/>
        </w:rPr>
        <w:t>focused</w:t>
      </w:r>
      <w:r>
        <w:rPr>
          <w:rFonts w:ascii="Times New Roman;Times;serif" w:hAnsi="Times New Roman;Times;serif"/>
          <w:spacing w:val="40"/>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capital</w:t>
      </w:r>
      <w:r>
        <w:rPr>
          <w:rFonts w:ascii="Times New Roman;Times;serif" w:hAnsi="Times New Roman;Times;serif"/>
          <w:spacing w:val="40"/>
          <w:sz w:val="20"/>
        </w:rPr>
        <w:t xml:space="preserve"> </w:t>
      </w:r>
      <w:r>
        <w:rPr>
          <w:rFonts w:ascii="Times New Roman;Times;serif" w:hAnsi="Times New Roman;Times;serif"/>
          <w:sz w:val="20"/>
        </w:rPr>
        <w:t>preservation.</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w:t>
      </w:r>
      <w:r>
        <w:rPr>
          <w:rFonts w:ascii="Times New Roman;Times;serif" w:hAnsi="Times New Roman;Times;serif"/>
          <w:spacing w:val="40"/>
          <w:sz w:val="20"/>
        </w:rPr>
        <w:t xml:space="preserve"> </w:t>
      </w:r>
      <w:r>
        <w:rPr>
          <w:rFonts w:ascii="Times New Roman;Times;serif" w:hAnsi="Times New Roman;Times;serif"/>
          <w:sz w:val="20"/>
        </w:rPr>
        <w:t>invests</w:t>
      </w:r>
      <w:r>
        <w:rPr>
          <w:rFonts w:ascii="Times New Roman;Times;serif" w:hAnsi="Times New Roman;Times;serif"/>
          <w:spacing w:val="40"/>
          <w:sz w:val="20"/>
        </w:rPr>
        <w:t xml:space="preserve"> </w:t>
      </w:r>
      <w:r>
        <w:rPr>
          <w:rFonts w:ascii="Times New Roman;Times;serif" w:hAnsi="Times New Roman;Times;serif"/>
          <w:sz w:val="20"/>
        </w:rPr>
        <w:t>in</w:t>
      </w:r>
      <w:r>
        <w:rPr>
          <w:rFonts w:ascii="Times New Roman;Times;serif" w:hAnsi="Times New Roman;Times;serif"/>
          <w:spacing w:val="40"/>
          <w:sz w:val="20"/>
        </w:rPr>
        <w:t xml:space="preserve"> </w:t>
      </w:r>
      <w:r>
        <w:rPr>
          <w:rFonts w:ascii="Times New Roman;Times;serif" w:hAnsi="Times New Roman;Times;serif"/>
          <w:sz w:val="20"/>
        </w:rPr>
        <w:t>instruments</w:t>
      </w:r>
      <w:r>
        <w:rPr>
          <w:rFonts w:ascii="Times New Roman;Times;serif" w:hAnsi="Times New Roman;Times;serif"/>
          <w:spacing w:val="40"/>
          <w:sz w:val="20"/>
        </w:rPr>
        <w:t xml:space="preserve"> </w:t>
      </w:r>
      <w:r>
        <w:rPr>
          <w:rFonts w:ascii="Times New Roman;Times;serif" w:hAnsi="Times New Roman;Times;serif"/>
          <w:sz w:val="20"/>
        </w:rPr>
        <w:t>that</w:t>
      </w:r>
      <w:r>
        <w:rPr>
          <w:rFonts w:ascii="Times New Roman;Times;serif" w:hAnsi="Times New Roman;Times;serif"/>
          <w:spacing w:val="40"/>
          <w:sz w:val="20"/>
        </w:rPr>
        <w:t xml:space="preserve"> </w:t>
      </w:r>
      <w:r>
        <w:rPr>
          <w:rFonts w:ascii="Times New Roman;Times;serif" w:hAnsi="Times New Roman;Times;serif"/>
          <w:sz w:val="20"/>
        </w:rPr>
        <w:t>meet</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high</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quality</w:t>
      </w:r>
      <w:r>
        <w:rPr>
          <w:rFonts w:ascii="Times New Roman;Times;serif" w:hAnsi="Times New Roman;Times;serif"/>
          <w:spacing w:val="40"/>
          <w:sz w:val="20"/>
        </w:rPr>
        <w:t xml:space="preserve"> </w:t>
      </w:r>
      <w:r>
        <w:rPr>
          <w:rFonts w:ascii="Times New Roman;Times;serif" w:hAnsi="Times New Roman;Times;serif"/>
          <w:sz w:val="20"/>
        </w:rPr>
        <w:t>standards</w:t>
      </w:r>
      <w:r>
        <w:rPr>
          <w:rFonts w:ascii="Times New Roman;Times;serif" w:hAnsi="Times New Roman;Times;serif"/>
          <w:spacing w:val="40"/>
          <w:sz w:val="20"/>
        </w:rPr>
        <w:t xml:space="preserve"> </w:t>
      </w:r>
      <w:r>
        <w:rPr>
          <w:rFonts w:ascii="Times New Roman;Times;serif" w:hAnsi="Times New Roman;Times;serif"/>
          <w:sz w:val="20"/>
        </w:rPr>
        <w:t>outlined</w:t>
      </w:r>
      <w:r>
        <w:rPr>
          <w:rFonts w:ascii="Times New Roman;Times;serif" w:hAnsi="Times New Roman;Times;serif"/>
          <w:spacing w:val="40"/>
          <w:sz w:val="20"/>
        </w:rPr>
        <w:t xml:space="preserve"> </w:t>
      </w:r>
      <w:r>
        <w:rPr>
          <w:rFonts w:ascii="Times New Roman;Times;serif" w:hAnsi="Times New Roman;Times;serif"/>
          <w:sz w:val="20"/>
        </w:rPr>
        <w:t>in</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Company’s</w:t>
      </w:r>
      <w:r>
        <w:rPr>
          <w:rFonts w:ascii="Times New Roman;Times;serif" w:hAnsi="Times New Roman;Times;serif"/>
          <w:spacing w:val="40"/>
          <w:sz w:val="20"/>
        </w:rPr>
        <w:t xml:space="preserve"> </w:t>
      </w:r>
      <w:r>
        <w:rPr>
          <w:rFonts w:ascii="Times New Roman;Times;serif" w:hAnsi="Times New Roman;Times;serif"/>
          <w:sz w:val="20"/>
        </w:rPr>
        <w:t>investment</w:t>
      </w:r>
      <w:r>
        <w:rPr>
          <w:rFonts w:ascii="Times New Roman;Times;serif" w:hAnsi="Times New Roman;Times;serif"/>
          <w:spacing w:val="40"/>
          <w:sz w:val="20"/>
        </w:rPr>
        <w:t xml:space="preserve"> </w:t>
      </w:r>
      <w:r>
        <w:rPr>
          <w:rFonts w:ascii="Times New Roman;Times;serif" w:hAnsi="Times New Roman;Times;serif"/>
          <w:sz w:val="20"/>
        </w:rPr>
        <w:t>policy.</w:t>
      </w:r>
      <w:r>
        <w:rPr>
          <w:rFonts w:ascii="Times New Roman;Times;serif" w:hAnsi="Times New Roman;Times;serif"/>
          <w:spacing w:val="40"/>
          <w:sz w:val="20"/>
        </w:rPr>
        <w:t xml:space="preserve"> </w:t>
      </w:r>
      <w:r>
        <w:rPr>
          <w:rFonts w:ascii="Times New Roman;Times;serif" w:hAnsi="Times New Roman;Times;serif"/>
          <w:sz w:val="20"/>
        </w:rPr>
        <w:t>This</w:t>
      </w:r>
      <w:r>
        <w:rPr>
          <w:rFonts w:ascii="Times New Roman;Times;serif" w:hAnsi="Times New Roman;Times;serif"/>
          <w:spacing w:val="40"/>
          <w:sz w:val="20"/>
        </w:rPr>
        <w:t xml:space="preserve"> </w:t>
      </w:r>
      <w:r>
        <w:rPr>
          <w:rFonts w:ascii="Times New Roman;Times;serif" w:hAnsi="Times New Roman;Times;serif"/>
          <w:sz w:val="20"/>
        </w:rPr>
        <w:t>policy</w:t>
      </w:r>
      <w:r>
        <w:rPr>
          <w:rFonts w:ascii="Times New Roman;Times;serif" w:hAnsi="Times New Roman;Times;serif"/>
          <w:spacing w:val="40"/>
          <w:sz w:val="20"/>
        </w:rPr>
        <w:t xml:space="preserve"> </w:t>
      </w:r>
      <w:r>
        <w:rPr>
          <w:rFonts w:ascii="Times New Roman;Times;serif" w:hAnsi="Times New Roman;Times;serif"/>
          <w:sz w:val="20"/>
        </w:rPr>
        <w:t>also</w:t>
      </w:r>
      <w:r>
        <w:rPr>
          <w:rFonts w:ascii="Times New Roman;Times;serif" w:hAnsi="Times New Roman;Times;serif"/>
          <w:spacing w:val="40"/>
          <w:sz w:val="20"/>
        </w:rPr>
        <w:t xml:space="preserve"> </w:t>
      </w:r>
      <w:r>
        <w:rPr>
          <w:rFonts w:ascii="Times New Roman;Times;serif" w:hAnsi="Times New Roman;Times;serif"/>
          <w:sz w:val="20"/>
        </w:rPr>
        <w:t>limits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amount</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exposure</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one</w:t>
      </w:r>
      <w:r>
        <w:rPr>
          <w:rFonts w:ascii="Times New Roman;Times;serif" w:hAnsi="Times New Roman;Times;serif"/>
          <w:spacing w:val="40"/>
          <w:sz w:val="20"/>
        </w:rPr>
        <w:t xml:space="preserve"> </w:t>
      </w:r>
      <w:r>
        <w:rPr>
          <w:rFonts w:ascii="Times New Roman;Times;serif" w:hAnsi="Times New Roman;Times;serif"/>
          <w:sz w:val="20"/>
        </w:rPr>
        <w:t>issue</w:t>
      </w:r>
      <w:r>
        <w:rPr>
          <w:rFonts w:ascii="Times New Roman;Times;serif" w:hAnsi="Times New Roman;Times;serif"/>
          <w:spacing w:val="40"/>
          <w:sz w:val="20"/>
        </w:rPr>
        <w:t xml:space="preserve"> </w:t>
      </w:r>
      <w:r>
        <w:rPr>
          <w:rFonts w:ascii="Times New Roman;Times;serif" w:hAnsi="Times New Roman;Times;serif"/>
          <w:sz w:val="20"/>
        </w:rPr>
        <w:t>or</w:t>
      </w:r>
      <w:r>
        <w:rPr>
          <w:rFonts w:ascii="Times New Roman;Times;serif" w:hAnsi="Times New Roman;Times;serif"/>
          <w:spacing w:val="40"/>
          <w:sz w:val="20"/>
        </w:rPr>
        <w:t xml:space="preserve"> </w:t>
      </w:r>
      <w:r>
        <w:rPr>
          <w:rFonts w:ascii="Times New Roman;Times;serif" w:hAnsi="Times New Roman;Times;serif"/>
          <w:sz w:val="20"/>
        </w:rPr>
        <w:t>type</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pacing w:val="-2"/>
          <w:sz w:val="20"/>
        </w:rPr>
        <w:t>instrument.</w:t>
      </w:r>
    </w:p>
    <w:p>
      <w:pPr>
        <w:pStyle w:val="TextBody"/>
        <w:bidi w:val="0"/>
        <w:spacing w:lineRule="auto" w:line="240" w:before="0" w:after="240"/>
        <w:ind w:left="0" w:right="149" w:hanging="0"/>
        <w:jc w:val="both"/>
        <w:rPr>
          <w:rFonts w:ascii="Times New Roman;Times;serif" w:hAnsi="Times New Roman;Times;serif"/>
          <w:sz w:val="20"/>
        </w:rPr>
      </w:pPr>
      <w:r>
        <w:rPr>
          <w:rFonts w:ascii="Times New Roman;Times;serif" w:hAnsi="Times New Roman;Times;serif"/>
          <w:sz w:val="20"/>
        </w:rPr>
        <w:t>The Company’s trade receivables includes amounts billed to Customers for product sales of PEDMARK</w:t>
      </w:r>
      <w:r>
        <w:rPr>
          <w:rFonts w:ascii="Times New Roman;Times;serif" w:hAnsi="Times New Roman;Times;serif"/>
          <w:sz w:val="15"/>
        </w:rPr>
        <w:t>®</w:t>
      </w:r>
      <w:r>
        <w:rPr>
          <w:rFonts w:ascii="Times New Roman;Times;serif" w:hAnsi="Times New Roman;Times;serif"/>
          <w:sz w:val="20"/>
        </w:rPr>
        <w:t>. In the U.S., the customers are a limited group of</w:t>
      </w:r>
      <w:r>
        <w:rPr>
          <w:rFonts w:ascii="Times New Roman;Times;serif" w:hAnsi="Times New Roman;Times;serif"/>
          <w:spacing w:val="27"/>
          <w:sz w:val="20"/>
        </w:rPr>
        <w:t xml:space="preserve"> </w:t>
      </w:r>
      <w:r>
        <w:rPr>
          <w:rFonts w:ascii="Times New Roman;Times;serif" w:hAnsi="Times New Roman;Times;serif"/>
          <w:sz w:val="20"/>
        </w:rPr>
        <w:t>specialty</w:t>
      </w:r>
      <w:r>
        <w:rPr>
          <w:rFonts w:ascii="Times New Roman;Times;serif" w:hAnsi="Times New Roman;Times;serif"/>
          <w:spacing w:val="28"/>
          <w:sz w:val="20"/>
        </w:rPr>
        <w:t xml:space="preserve"> </w:t>
      </w:r>
      <w:r>
        <w:rPr>
          <w:rFonts w:ascii="Times New Roman;Times;serif" w:hAnsi="Times New Roman;Times;serif"/>
          <w:sz w:val="20"/>
        </w:rPr>
        <w:t>distributors and direct customers,</w:t>
      </w:r>
      <w:r>
        <w:rPr>
          <w:rFonts w:ascii="Times New Roman;Times;serif" w:hAnsi="Times New Roman;Times;serif"/>
          <w:spacing w:val="28"/>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accordingly,</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considers</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risk</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potential</w:t>
      </w:r>
      <w:r>
        <w:rPr>
          <w:rFonts w:ascii="Times New Roman;Times;serif" w:hAnsi="Times New Roman;Times;serif"/>
          <w:spacing w:val="28"/>
          <w:sz w:val="20"/>
        </w:rPr>
        <w:t xml:space="preserve"> </w:t>
      </w:r>
      <w:r>
        <w:rPr>
          <w:rFonts w:ascii="Times New Roman;Times;serif" w:hAnsi="Times New Roman;Times;serif"/>
          <w:sz w:val="20"/>
        </w:rPr>
        <w:t>credit</w:t>
      </w:r>
      <w:r>
        <w:rPr>
          <w:rFonts w:ascii="Times New Roman;Times;serif" w:hAnsi="Times New Roman;Times;serif"/>
          <w:spacing w:val="27"/>
          <w:sz w:val="20"/>
        </w:rPr>
        <w:t xml:space="preserve"> </w:t>
      </w:r>
      <w:r>
        <w:rPr>
          <w:rFonts w:ascii="Times New Roman;Times;serif" w:hAnsi="Times New Roman;Times;serif"/>
          <w:sz w:val="20"/>
        </w:rPr>
        <w:t>losses</w:t>
      </w:r>
      <w:r>
        <w:rPr>
          <w:rFonts w:ascii="Times New Roman;Times;serif" w:hAnsi="Times New Roman;Times;serif"/>
          <w:spacing w:val="27"/>
          <w:sz w:val="20"/>
        </w:rPr>
        <w:t xml:space="preserve"> </w:t>
      </w:r>
      <w:r>
        <w:rPr>
          <w:rFonts w:ascii="Times New Roman;Times;serif" w:hAnsi="Times New Roman;Times;serif"/>
          <w:sz w:val="20"/>
        </w:rPr>
        <w:t>to</w:t>
      </w:r>
      <w:r>
        <w:rPr>
          <w:rFonts w:ascii="Times New Roman;Times;serif" w:hAnsi="Times New Roman;Times;serif"/>
          <w:spacing w:val="27"/>
          <w:sz w:val="20"/>
        </w:rPr>
        <w:t xml:space="preserve"> </w:t>
      </w:r>
      <w:r>
        <w:rPr>
          <w:rFonts w:ascii="Times New Roman;Times;serif" w:hAnsi="Times New Roman;Times;serif"/>
          <w:sz w:val="20"/>
        </w:rPr>
        <w:t>be</w:t>
      </w:r>
      <w:r>
        <w:rPr>
          <w:rFonts w:ascii="Times New Roman;Times;serif" w:hAnsi="Times New Roman;Times;serif"/>
          <w:spacing w:val="28"/>
          <w:sz w:val="20"/>
        </w:rPr>
        <w:t xml:space="preserve"> </w:t>
      </w:r>
      <w:r>
        <w:rPr>
          <w:rFonts w:ascii="Times New Roman;Times;serif" w:hAnsi="Times New Roman;Times;serif"/>
          <w:sz w:val="20"/>
        </w:rPr>
        <w:t>low. The Company also sells to a select group of global distributors. These global distributors are established companies and although the Company regards credit losses with these distributors to be low, it does recognize the potential for credit losses with this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March 31, 2026, we maintained a full valuation allowance against our deferred tax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U.S. dollar is the functional currency for the Company’s consolidated operations. All gains and losses from currency transactions are included in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stock options and warrants, if dilutive, as determined using the if-converted method and treasury methods.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prior period amounts in the accompanying condensed consolidated financial statements have been reclassified to conform to the current period presentation. Specifically, certain equity-based compensation costs previously classified within general and administrative expenses have been reclassified to selling and marketing expenses. These reclassifications had no effect on previously reported net loss or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July 2025, the Financial Accounting Standards Board (“FASB”) issued Accounting Standards Update (“ASU”) 2025-05, Financial Instruments—Credit Losses (Topic 326): Measurement of Credit Losses for Accounts Receivable and Contract Assets. This ASU introduces optional practical expedients intended to simplify the estimation of expected credit losses for current accounts receivable and current contract assets arising from transactions accounted for under Topic 606, Revenue from Contracts with Customers. The amendments in ASU 2025-05 are intended to reduce complexity in applying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current expected credit loss model to short-term receivables and contract assets while maintaining decision-useful information for financial statement users. The Company adopted this amended standard in the first quarter of 2026 and such adoption did not have a material impact on its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Improvements to Interim Reporting. This ASU clarifies the applicability of interim reporting guidance, improves the navigability of Topic 270, identifies interim disclosure requirements included in other Topics of the Accounting Standards Codification, and establishes a principle requiring disclosure of events since the end of the last annual reporting period that have a material impact on an entity. The amendments in ASU 2025-11 are not intended to fundamentally expand or reduce existing interim disclosure requirements, but rather to improve clarity and consistency in the application of interim reporting guidance. The Company is currently assessing the effect of this guidance on its interim disclosures and presentation. The Company does not currently expect the adoption of this standard to have a material impact on its condensed consolidated financial statements other than potential additional or clarified interim disclosure requirements.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2025-12, Codification Improvements. ASU 2025-12 includes technical corrections, clarifications, and other minor improvements to various Topics within the Accounting Standards Codification. The Company is currently evaluating the effect of this guidance on its consolidated financial statements and related disclosures. The Company does not expect the adoption of this standard to have a material impact on its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the pronouncements discussed above, the Company reviewed other recently issued accounting standards and concluded that they are either not applicable to its business or are not expected to have a material impact on its condensed consolidated financial statements or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12" w:name="Tc_mJTna8MM0Uu9caFblcUU6g_13_5"/>
      <w:bookmarkStart w:id="513" w:name="Tc_lGL1wlkK_Um60m2U7CVOrg_13_2"/>
      <w:bookmarkStart w:id="514" w:name="Tc_ZeAh8-y7XUWYUeL3lpEADg_13_0"/>
      <w:bookmarkStart w:id="515" w:name="Tc_AT27jjf5wE6FBxdSYxQ5Yg_12_5"/>
      <w:bookmarkStart w:id="516" w:name="Tc_B3oSCts4zk6_qVLNopP-ZA_12_2"/>
      <w:bookmarkStart w:id="517" w:name="Tc_iKqTMGMApkqYkM7PH6HILQ_12_0"/>
      <w:bookmarkStart w:id="518" w:name="Tc_Uadc2b7RFEKTk1iyUdhhzA_11_0"/>
      <w:bookmarkStart w:id="519" w:name="Tc_J3e9YhoKHk6HMiK-cLFM9A_10_0"/>
      <w:bookmarkStart w:id="520" w:name="Tc_OQiCKxew4k6Erds9EP_f0A_9_0"/>
      <w:bookmarkStart w:id="521" w:name="Tc_AJFiRwYyLE-uIxzCdctWlw_8_0"/>
      <w:bookmarkStart w:id="522" w:name="Tc_OaZnZraJy0qxvVjNTTDQhw_7_0"/>
      <w:bookmarkStart w:id="523" w:name="Tc_hya-z5q0F0S9Oh1pAhnEgw_6_0"/>
      <w:bookmarkStart w:id="524" w:name="Tc___hpdJ0sa0SxInTRuMrqZQ_4_5"/>
      <w:bookmarkStart w:id="525" w:name="Tc_x8tCoy3Y_Eijb3gl5qASAw_4_2"/>
      <w:bookmarkStart w:id="526" w:name="Tc_DFOu4nvtgEmVzXQnV8cmYQ_4_0"/>
      <w:bookmarkStart w:id="527" w:name="Tc_sGzFeKRGOkaZlo03tr6wYg_3_0"/>
      <w:bookmarkStart w:id="528" w:name="Tc_rchFbWnmjk6WBOIVmZGSdg_2_5"/>
      <w:bookmarkStart w:id="529" w:name="Tc_cCFRPfEu6EuX_huD61-7bQ_2_2"/>
      <w:bookmarkStart w:id="530" w:name="Tc_G8DoEAA7KUmAO0igHHljjw_1_2"/>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r>
        <w:rPr>
          <w:rFonts w:ascii="Times New Roman;Times;serif" w:hAnsi="Times New Roman;Times;serif"/>
          <w:b/>
          <w:sz w:val="20"/>
        </w:rPr>
        <w:t>3.    Income/(Loss)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Income/(loss) per common share is presented under two formats: basic income/(loss) per common share and diluted income/(loss) per common share. Basic income/(loss) per common share is computed by dividing net income/(loss) attributable to common shareholders by the weighted-average number of common shares outstanding during the period. Diluted income/(loss) per common share is computed by dividing net income/(loss) by the weighted-average number of common shares outstanding during the period, plus the potentially dilutive impact of common share equivalents (e.g., stock options, restricted share units and warrants). Dilutive common share equivalents consist of the incremental common shares issuable upon exercise or settlement of stock options, restricted share units and warrants. The following table sets forth the computation of basic and diluted net income/(loss) per share (in thousands except per share data):</w:t>
      </w:r>
    </w:p>
    <w:p>
      <w:pPr>
        <w:pStyle w:val="TextBody"/>
        <w:bidi w:val="0"/>
        <w:spacing w:before="0" w:after="0"/>
        <w:ind w:left="0" w:right="0" w:hanging="0"/>
        <w:jc w:val="left"/>
        <w:rPr/>
      </w:pPr>
      <w:r>
        <w:rPr/>
        <w:t>​</w:t>
      </w:r>
    </w:p>
    <w:tbl>
      <w:tblPr>
        <w:tblW w:w="6751" w:type="dxa"/>
        <w:jc w:val="left"/>
        <w:tblInd w:w="0" w:type="dxa"/>
        <w:tblLayout w:type="fixed"/>
        <w:tblCellMar>
          <w:top w:w="0" w:type="dxa"/>
          <w:left w:w="0" w:type="dxa"/>
          <w:bottom w:w="0" w:type="dxa"/>
          <w:right w:w="0" w:type="dxa"/>
        </w:tblCellMar>
      </w:tblPr>
      <w:tblGrid>
        <w:gridCol w:w="3571"/>
        <w:gridCol w:w="346"/>
        <w:gridCol w:w="241"/>
        <w:gridCol w:w="774"/>
        <w:gridCol w:w="396"/>
        <w:gridCol w:w="241"/>
        <w:gridCol w:w="791"/>
        <w:gridCol w:w="391"/>
      </w:tblGrid>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53035" cy="175260"/>
                      <wp:effectExtent l="0" t="0" r="0" b="0"/>
                      <wp:wrapNone/>
                      <wp:docPr id="63" name="Frame6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1490" cy="175260"/>
                      <wp:effectExtent l="0" t="0" r="0" b="0"/>
                      <wp:wrapNone/>
                      <wp:docPr id="64" name="Frame64"/>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51460" cy="175260"/>
                      <wp:effectExtent l="0" t="0" r="0" b="0"/>
                      <wp:wrapNone/>
                      <wp:docPr id="65" name="Frame6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3035" cy="175260"/>
                      <wp:effectExtent l="0" t="0" r="0" b="0"/>
                      <wp:wrapNone/>
                      <wp:docPr id="66" name="Frame6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2285" cy="175260"/>
                      <wp:effectExtent l="0" t="0" r="0" b="0"/>
                      <wp:wrapNone/>
                      <wp:docPr id="67" name="Frame6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8285" cy="175260"/>
                      <wp:effectExtent l="0" t="0" r="0" b="0"/>
                      <wp:wrapNone/>
                      <wp:docPr id="68" name="Frame6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1"/>
              <w:ind w:left="0" w:right="0" w:hanging="0"/>
              <w:jc w:val="left"/>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9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9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basic</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34,336</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w:t>
            </w:r>
          </w:p>
        </w:tc>
        <w:tc>
          <w:tcPr>
            <w:tcW w:w="39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restricted share units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dilutive shares</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c>
          <w:tcPr>
            <w:tcW w:w="39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35,548</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income/(loss) per share basic</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9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vAlign w:val="center"/>
          </w:tcPr>
          <w:p>
            <w:pPr>
              <w:pStyle w:val="TableContents"/>
              <w:bidi w:val="0"/>
              <w:spacing w:before="0" w:after="1"/>
              <w:ind w:left="0" w:right="0" w:hanging="0"/>
              <w:jc w:val="left"/>
              <w:rPr/>
            </w:pPr>
            <w:r>
              <w:rPr/>
              <w:t>​</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income/(loss) per share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9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(0.04)</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March 31, 2026, the Company reported net income and therefore included the effect of dilutive common share equivalents to the extent they were dilutive. For the three months ended March 31, 2025,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31" w:name="Tc_TvXCCmOfQUu-RnXQ8JSU8Q_6_0"/>
      <w:bookmarkStart w:id="532" w:name="Tc_zEN62VVMNUOcGpbJolD7rw_5_0"/>
      <w:bookmarkStart w:id="533" w:name="Tc_B1s0btGDN0mm331GPYTFBw_4_2"/>
      <w:bookmarkStart w:id="534" w:name="Tc_rVIWp9XpC0qt8NfIKnrv4Q_4_0"/>
      <w:bookmarkStart w:id="535" w:name="Tc_LHkkX_4nuEiDKbIkWL9j2g_3_0"/>
      <w:bookmarkStart w:id="536" w:name="Tc_7MSqM4R_mkekUf-Si426cA_2_4"/>
      <w:bookmarkStart w:id="537" w:name="Tc_abiPGyYhj0C9rIwtlhwYFA_2_2"/>
      <w:bookmarkStart w:id="538" w:name="Tc_ymXhGlw_fkKWNR0ikDJvqQ_1_2"/>
      <w:bookmarkEnd w:id="531"/>
      <w:bookmarkEnd w:id="532"/>
      <w:bookmarkEnd w:id="533"/>
      <w:bookmarkEnd w:id="534"/>
      <w:bookmarkEnd w:id="535"/>
      <w:bookmarkEnd w:id="536"/>
      <w:bookmarkEnd w:id="537"/>
      <w:bookmarkEnd w:id="538"/>
      <w:r>
        <w:rPr>
          <w:rFonts w:ascii="Times New Roman;Times;serif" w:hAnsi="Times New Roman;Times;serif"/>
          <w:sz w:val="20"/>
        </w:rPr>
        <w:t>reported a net loss and, accordingly, all potentially dilutive securities were excluded from diluted net loss per share because their inclusion would have been anti-dilutive.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outstanding options and warrants were excluded from the computation of basic and diluted net income/(loss) per share for the periods presented because including them would have had an anti-dilutive effect:</w:t>
      </w:r>
    </w:p>
    <w:p>
      <w:pPr>
        <w:pStyle w:val="TextBody"/>
        <w:bidi w:val="0"/>
        <w:spacing w:before="0" w:after="0"/>
        <w:ind w:left="0" w:right="0" w:hanging="0"/>
        <w:jc w:val="left"/>
        <w:rPr/>
      </w:pPr>
      <w:r>
        <w:rPr/>
        <w:t>​</w:t>
      </w:r>
    </w:p>
    <w:tbl>
      <w:tblPr>
        <w:tblW w:w="6005" w:type="dxa"/>
        <w:jc w:val="left"/>
        <w:tblInd w:w="0" w:type="dxa"/>
        <w:tblLayout w:type="fixed"/>
        <w:tblCellMar>
          <w:top w:w="0" w:type="dxa"/>
          <w:left w:w="0" w:type="dxa"/>
          <w:bottom w:w="0" w:type="dxa"/>
          <w:right w:w="0" w:type="dxa"/>
        </w:tblCellMar>
      </w:tblPr>
      <w:tblGrid>
        <w:gridCol w:w="4126"/>
        <w:gridCol w:w="346"/>
        <w:gridCol w:w="571"/>
        <w:gridCol w:w="346"/>
        <w:gridCol w:w="61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20010" cy="175260"/>
                      <wp:effectExtent l="0" t="0" r="0" b="0"/>
                      <wp:wrapNone/>
                      <wp:docPr id="69" name="Frame6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1160" cy="175260"/>
                      <wp:effectExtent l="0" t="0" r="0" b="0"/>
                      <wp:wrapNone/>
                      <wp:docPr id="73" name="Frame7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shares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6,173</w:t>
            </w:r>
          </w:p>
        </w:tc>
        <w:tc>
          <w:tcPr>
            <w:tcW w:w="34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5,857</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 to purchase common shares</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3,761</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 to purchase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shares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39" w:name="Tc_BSaol8rwe0SxUl9tEkMtBg_7_4"/>
      <w:bookmarkStart w:id="540" w:name="Tc_QMjLY0fF0Eij9f4z4M0XSg_7_0"/>
      <w:bookmarkStart w:id="541" w:name="Tc_uugivU9rGEOPcVtdD7J9lA_6_5"/>
      <w:bookmarkStart w:id="542" w:name="Tc_QCrwZwt0AUu-j6hWskRBnQ_6_2"/>
      <w:bookmarkStart w:id="543" w:name="Tc_hvpRpyanMkObgqwUrnQCqw_6_0"/>
      <w:bookmarkStart w:id="544" w:name="Tc_k2jnIiwxqkGdnmIDukbFKQ_5_4"/>
      <w:bookmarkStart w:id="545" w:name="Tc_KO2qsWqS506oleCs8W2GAQ_5_0"/>
      <w:bookmarkStart w:id="546" w:name="Tc_64g8c_2K-UatF6PEOgFyyA_4_4"/>
      <w:bookmarkStart w:id="547" w:name="Tc_QZnsIzWCn0-r7eA_912Bkg_4_2"/>
      <w:bookmarkStart w:id="548" w:name="Tc_9gJSGMXfKkW880fz5r1H2g_4_0"/>
      <w:bookmarkStart w:id="549" w:name="Tc_OgHDsaJXr0eWuWHnNdUDcw_3_4"/>
      <w:bookmarkStart w:id="550" w:name="Tc_rg6BTiFXD0KrwqCgOKuvuA_3_2"/>
      <w:bookmarkStart w:id="551" w:name="Tc_Zwd1IQ82402R9-RlXuhcfQ_2_2"/>
      <w:bookmarkStart w:id="552" w:name="Tc_2Bt3QEU9K0q6R1xE6y4v4A_1_2"/>
      <w:bookmarkStart w:id="553" w:name="_848b76c1_ebd5_4aa4_95eb_071ecb080066_3"/>
      <w:bookmarkStart w:id="554" w:name="_848b76c1_ebd5_4aa4_95eb_071ecb080066_2"/>
      <w:bookmarkStart w:id="555" w:name="_848b76c1_ebd5_4aa4_95eb_071ecb080066"/>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Fonts w:ascii="Times New Roman;Times;serif" w:hAnsi="Times New Roman;Times;serif"/>
          <w:b/>
          <w:sz w:val="20"/>
        </w:rPr>
        <w:t>4.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authorized capital stock consists of an unlimited number of common shares, no par value per share.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 to Purchase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there were no warrants issued or exercised. Outstanding warrants had a weighted average life of 1.43 years on March 31, 2026. The following tables detail the Company’s warrant activity for the three months ended March 31, 2026:</w:t>
      </w:r>
    </w:p>
    <w:p>
      <w:pPr>
        <w:pStyle w:val="TextBody"/>
        <w:bidi w:val="0"/>
        <w:spacing w:before="0" w:after="240"/>
        <w:ind w:left="0" w:right="0" w:hanging="0"/>
        <w:jc w:val="both"/>
        <w:rPr/>
      </w:pPr>
      <w:r>
        <w:rPr/>
        <w:t>​</w:t>
      </w:r>
    </w:p>
    <w:tbl>
      <w:tblPr>
        <w:tblW w:w="6473" w:type="dxa"/>
        <w:jc w:val="left"/>
        <w:tblInd w:w="0" w:type="dxa"/>
        <w:tblLayout w:type="fixed"/>
        <w:tblCellMar>
          <w:top w:w="0" w:type="dxa"/>
          <w:left w:w="0" w:type="dxa"/>
          <w:bottom w:w="0" w:type="dxa"/>
          <w:right w:w="0" w:type="dxa"/>
        </w:tblCellMar>
      </w:tblPr>
      <w:tblGrid>
        <w:gridCol w:w="2746"/>
        <w:gridCol w:w="346"/>
        <w:gridCol w:w="1756"/>
        <w:gridCol w:w="109"/>
        <w:gridCol w:w="409"/>
        <w:gridCol w:w="1107"/>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43710" cy="175260"/>
                      <wp:effectExtent l="0" t="0" r="0" b="0"/>
                      <wp:wrapNone/>
                      <wp:docPr id="74" name="Frame7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15060" cy="175260"/>
                      <wp:effectExtent l="0" t="0" r="0" b="0"/>
                      <wp:wrapNone/>
                      <wp:docPr id="76" name="Frame76"/>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59715" cy="175260"/>
                      <wp:effectExtent l="0" t="0" r="0" b="0"/>
                      <wp:wrapNone/>
                      <wp:docPr id="78" name="Frame78"/>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02945" cy="175260"/>
                      <wp:effectExtent l="0" t="0" r="0" b="0"/>
                      <wp:wrapNone/>
                      <wp:docPr id="79" name="Frame79"/>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409" w:type="dxa"/>
            <w:tcBorders/>
            <w:vAlign w:val="center"/>
          </w:tcPr>
          <w:p>
            <w:pPr>
              <w:pStyle w:val="TableContents"/>
              <w:bidi w:val="0"/>
              <w:spacing w:before="0" w:after="1"/>
              <w:ind w:left="0" w:right="0" w:hanging="0"/>
              <w:jc w:val="center"/>
              <w:rPr/>
            </w:pPr>
            <w:r>
              <w:rPr/>
              <w:t>​</w:t>
            </w:r>
          </w:p>
        </w:tc>
        <w:tc>
          <w:tcPr>
            <w:tcW w:w="1107" w:type="dxa"/>
            <w:tcBorders/>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409" w:type="dxa"/>
            <w:tcBorders/>
            <w:vAlign w:val="center"/>
          </w:tcPr>
          <w:p>
            <w:pPr>
              <w:pStyle w:val="TableContents"/>
              <w:bidi w:val="0"/>
              <w:spacing w:before="0" w:after="1"/>
              <w:ind w:left="0" w:right="0" w:hanging="0"/>
              <w:jc w:val="center"/>
              <w:rPr/>
            </w:pPr>
            <w:r>
              <w:rPr/>
              <w:t>​</w:t>
            </w:r>
          </w:p>
        </w:tc>
        <w:tc>
          <w:tcPr>
            <w:tcW w:w="1107" w:type="dxa"/>
            <w:tcBorders/>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7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4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Exercise Price </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4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409" w:type="dxa"/>
            <w:tcBorders/>
            <w:vAlign w:val="center"/>
          </w:tcPr>
          <w:p>
            <w:pPr>
              <w:pStyle w:val="TableContents"/>
              <w:bidi w:val="0"/>
              <w:spacing w:before="0" w:after="1"/>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109" w:type="dxa"/>
            <w:tcBorders/>
            <w:shd w:fill="CCEEFF" w:val="clear"/>
            <w:vAlign w:val="center"/>
          </w:tcPr>
          <w:p>
            <w:pPr>
              <w:pStyle w:val="TableContents"/>
              <w:bidi w:val="0"/>
              <w:spacing w:before="0" w:after="1"/>
              <w:ind w:left="0" w:right="0" w:hanging="0"/>
              <w:jc w:val="righ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8.11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an equity incentive plan (the “Plan”), which is administered by the Compensation Committee of the Board of Directors. The Plan provides for the issuance of stock options, restricted share units (“RSUs”), and other equity-based awards to employees, directors, officers, and consultants of the Company. The Compensation Committee is responsible for determining eligible participants and approving individual award grants under the Plan.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24, 2025, the Company’s Board of Directors approved an amendment to the Plan to: (i) increase the number of common shares available for issuance under the Plan (excluding common shares issued prior to the date of the meeting pursuant to the exercise of options and vesting of RSUs) to 8,500 common shares, representing approximately 30.8% of the total issued and outstanding common shares as of the date of the circular; and (ii) include provisions for an employee stock purchase program. The amendment was subsequently approved by the Company’s shareholders on June 3,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this amendment, the maximum number of equity instruments issuable under the Plan, together with the Company’s prior stock option plan, was limited to 25% of the Company’s issued and outstanding common shares. Based on the then-current outstanding share count, this equated to a maximum of 6,825 common shares available for issuance.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stock options granted under the Plan have an exercise price equal to the fair value of the Company’s common shares on the date of grant. Options generally vest over a period of up to three years and are exercisable for a period of up to ten years from the grant date. Awards under the Plan may be denominated in either U.S. or Canadian dollars.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56" w:name="Tc_3K23SIpan0ifXtL6LFl76Q_6_3"/>
      <w:bookmarkStart w:id="557" w:name="Tc_U4jjATVqeUaga88UgyuKbA_6_0"/>
      <w:bookmarkStart w:id="558" w:name="Tc_yogqs534gk61hsKZJrgmlg_5_3"/>
      <w:bookmarkStart w:id="559" w:name="Tc_wIFkKdsTzEq29kIotsNYgg_5_0"/>
      <w:bookmarkStart w:id="560" w:name="Tc_mznuBcunu0WvJSMEfAsyTA_4_3"/>
      <w:bookmarkStart w:id="561" w:name="Tc_zjyLJ7uVGEiRR1rIxnLYog_4_0"/>
      <w:bookmarkStart w:id="562" w:name="Tc_ng-5OX6nlEu7sXwnTv-irQ_3_3"/>
      <w:bookmarkStart w:id="563" w:name="Tc_2H0cVBt4RUKREO_uXiE3gw_3_2"/>
      <w:bookmarkStart w:id="564" w:name="Tc_SLx7Fw8ewEu1b02qHYzfFA_3_0"/>
      <w:bookmarkStart w:id="565" w:name="Tc_xc8OSvh3ZEGb4KiCEhmUgw_2_2"/>
      <w:bookmarkStart w:id="566" w:name="Tc_71s9c0xiA0OiIQsJwcjJTA_2_0"/>
      <w:bookmarkStart w:id="567" w:name="Tc_e5g_CaVXUEOiKnQW1n6Tmw_1_2"/>
      <w:bookmarkStart w:id="568" w:name="Tc_dhOsZGNBbE6PRmPleW13UQ_6_4"/>
      <w:bookmarkStart w:id="569" w:name="Tc_JfDMv4-I4kCfvPr88z5IzA_6_0"/>
      <w:bookmarkStart w:id="570" w:name="Tc_MxobZ05wSE6nkuzvmtmiMA_5_0"/>
      <w:bookmarkStart w:id="571" w:name="Tc_knLxIGNwvEKcxoIa0SGvXw_4_0"/>
      <w:bookmarkStart w:id="572" w:name="Tc_wPD39fIBzkyiRdXKEHwxsA_3_4"/>
      <w:bookmarkStart w:id="573" w:name="Tc_Nt_r5gK2yEa1vRHqAOJ6kw_3_0"/>
      <w:bookmarkStart w:id="574" w:name="Tc_7tZFvVM-eUK62n5wtryFVw_2_4"/>
      <w:bookmarkStart w:id="575" w:name="Tc_5LW_S5R8iU2Msl_hOeiUIg_2_2"/>
      <w:bookmarkStart w:id="576" w:name="Tc_89GHfBKDMUi3qHPcTFEfpQ_1_4"/>
      <w:bookmarkStart w:id="577" w:name="Tc_orj1aMZJjEW7_F_LChwpPQ_1_2"/>
      <w:bookmarkStart w:id="578" w:name="Tc_XQLNC_I470yCXSFiUE0L-w_4_5"/>
      <w:bookmarkStart w:id="579" w:name="Tc_jLGI1mST8E-FEDKdSSYMCg_4_2"/>
      <w:bookmarkStart w:id="580" w:name="Tc_kyh4aZK6vUahZ0m25ElenA_4_0"/>
      <w:bookmarkStart w:id="581" w:name="Tc_J-ahGkWXy0uOK1eZi4G0aw_3_5"/>
      <w:bookmarkStart w:id="582" w:name="Tc_vlOmg6c_vUm_4eAq7mE-Ug_3_2"/>
      <w:bookmarkStart w:id="583" w:name="Tc_PQ3nYRWNiEC7BAdsRc9wxQ_3_0"/>
      <w:bookmarkStart w:id="584" w:name="Tc_g-C8bV-4S0qB2Lis4EXnoA_2_5"/>
      <w:bookmarkStart w:id="585" w:name="Tc_8B3FcXCr8USIPDaAbJiwZA_2_2"/>
      <w:bookmarkStart w:id="586" w:name="Tc_UyK83RJ6VkW4fQJrgFNf1g_1_2"/>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rPr>
          <w:rFonts w:ascii="Times New Roman;Times;serif" w:hAnsi="Times New Roman;Times;serif"/>
          <w:sz w:val="20"/>
        </w:rPr>
        <w:t>The Company recognizes stock-based compensation expense for all share-based awards granted to employees and non-employees based on the fair value of the awards on the grant date. The following table summarizes stock-based compensation expense related to equity awards:</w:t>
      </w:r>
    </w:p>
    <w:p>
      <w:pPr>
        <w:pStyle w:val="TextBody"/>
        <w:bidi w:val="0"/>
        <w:spacing w:before="0" w:after="0"/>
        <w:ind w:left="0" w:right="0" w:hanging="0"/>
        <w:jc w:val="left"/>
        <w:rPr/>
      </w:pPr>
      <w:r>
        <w:rPr/>
        <w:t>​</w:t>
      </w:r>
    </w:p>
    <w:tbl>
      <w:tblPr>
        <w:tblW w:w="6001" w:type="dxa"/>
        <w:jc w:val="left"/>
        <w:tblInd w:w="0" w:type="dxa"/>
        <w:tblLayout w:type="fixed"/>
        <w:tblCellMar>
          <w:top w:w="0" w:type="dxa"/>
          <w:left w:w="0" w:type="dxa"/>
          <w:bottom w:w="0" w:type="dxa"/>
          <w:right w:w="0" w:type="dxa"/>
        </w:tblCellMar>
      </w:tblPr>
      <w:tblGrid>
        <w:gridCol w:w="3166"/>
        <w:gridCol w:w="346"/>
        <w:gridCol w:w="306"/>
        <w:gridCol w:w="611"/>
        <w:gridCol w:w="502"/>
        <w:gridCol w:w="306"/>
        <w:gridCol w:w="764"/>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10410" cy="175260"/>
                      <wp:effectExtent l="0" t="0" r="0" b="0"/>
                      <wp:wrapNone/>
                      <wp:docPr id="80" name="Frame80"/>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4310" cy="175260"/>
                      <wp:effectExtent l="0" t="0" r="0" b="0"/>
                      <wp:wrapNone/>
                      <wp:docPr id="82" name="Frame8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87985" cy="175260"/>
                      <wp:effectExtent l="0" t="0" r="0" b="0"/>
                      <wp:wrapNone/>
                      <wp:docPr id="83" name="Frame83"/>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18770" cy="175260"/>
                      <wp:effectExtent l="0" t="0" r="0" b="0"/>
                      <wp:wrapNone/>
                      <wp:docPr id="84" name="Frame84"/>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4310" cy="175260"/>
                      <wp:effectExtent l="0" t="0" r="0" b="0"/>
                      <wp:wrapNone/>
                      <wp:docPr id="85" name="Frame8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5140" cy="175260"/>
                      <wp:effectExtent l="0" t="0" r="0" b="0"/>
                      <wp:wrapNone/>
                      <wp:docPr id="86" name="Frame86"/>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2" w:type="dxa"/>
            <w:tcBorders/>
            <w:vAlign w:val="center"/>
          </w:tcPr>
          <w:p>
            <w:pPr>
              <w:pStyle w:val="TableContents"/>
              <w:bidi w:val="0"/>
              <w:spacing w:before="0" w:after="1"/>
              <w:ind w:left="0" w:right="0" w:hanging="0"/>
              <w:jc w:val="left"/>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equity expense recognized</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502"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expense recognized</w:t>
            </w:r>
          </w:p>
        </w:tc>
        <w:tc>
          <w:tcPr>
            <w:tcW w:w="346"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990</w:t>
            </w:r>
          </w:p>
        </w:tc>
        <w:tc>
          <w:tcPr>
            <w:tcW w:w="502"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798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option activity for the three months ended March 31, 2026, and 2025.</w:t>
      </w:r>
    </w:p>
    <w:p>
      <w:pPr>
        <w:pStyle w:val="TextBody"/>
        <w:bidi w:val="0"/>
        <w:spacing w:before="0" w:after="240"/>
        <w:ind w:left="0" w:right="0" w:hanging="0"/>
        <w:jc w:val="both"/>
        <w:rPr/>
      </w:pPr>
      <w:r>
        <w:rPr/>
        <w:t>​</w:t>
      </w:r>
    </w:p>
    <w:tbl>
      <w:tblPr>
        <w:tblW w:w="6473" w:type="dxa"/>
        <w:jc w:val="left"/>
        <w:tblInd w:w="0" w:type="dxa"/>
        <w:tblLayout w:type="fixed"/>
        <w:tblCellMar>
          <w:top w:w="0" w:type="dxa"/>
          <w:left w:w="0" w:type="dxa"/>
          <w:bottom w:w="0" w:type="dxa"/>
          <w:right w:w="0" w:type="dxa"/>
        </w:tblCellMar>
      </w:tblPr>
      <w:tblGrid>
        <w:gridCol w:w="2941"/>
        <w:gridCol w:w="109"/>
        <w:gridCol w:w="1561"/>
        <w:gridCol w:w="346"/>
        <w:gridCol w:w="409"/>
        <w:gridCol w:w="1107"/>
      </w:tblGrid>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91235" cy="175260"/>
                      <wp:effectExtent l="0" t="0" r="0" b="0"/>
                      <wp:wrapNone/>
                      <wp:docPr id="88" name="Frame8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9715" cy="175260"/>
                      <wp:effectExtent l="0" t="0" r="0" b="0"/>
                      <wp:wrapNone/>
                      <wp:docPr id="90" name="Frame9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02945" cy="175260"/>
                      <wp:effectExtent l="0" t="0" r="0" b="0"/>
                      <wp:wrapNone/>
                      <wp:docPr id="91" name="Frame91"/>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(thousands)</w:t>
            </w:r>
          </w:p>
        </w:tc>
        <w:tc>
          <w:tcPr>
            <w:tcW w:w="346" w:type="dxa"/>
            <w:tcBorders/>
            <w:vAlign w:val="center"/>
          </w:tcPr>
          <w:p>
            <w:pPr>
              <w:pStyle w:val="TableContents"/>
              <w:bidi w:val="0"/>
              <w:spacing w:before="0" w:after="0"/>
              <w:ind w:left="0" w:right="0" w:hanging="0"/>
              <w:jc w:val="left"/>
              <w:rPr/>
            </w:pPr>
            <w:r>
              <w:rPr/>
              <w:t>  ​ ​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Exercise Price </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5,853</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c>
          <w:tcPr>
            <w:tcW w:w="34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4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 </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at March 31, 2026</w:t>
            </w:r>
          </w:p>
        </w:tc>
        <w:tc>
          <w:tcPr>
            <w:tcW w:w="109" w:type="dxa"/>
            <w:tcBorders/>
            <w:vAlign w:val="center"/>
          </w:tcPr>
          <w:p>
            <w:pPr>
              <w:pStyle w:val="TableContents"/>
              <w:bidi w:val="0"/>
              <w:spacing w:before="0" w:after="0"/>
              <w:ind w:left="0" w:right="0" w:hanging="0"/>
              <w:jc w:val="left"/>
              <w:rPr/>
            </w:pPr>
            <w:r>
              <w:rPr/>
              <w:t>​</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7,229</w:t>
            </w:r>
          </w:p>
        </w:tc>
        <w:tc>
          <w:tcPr>
            <w:tcW w:w="346" w:type="dxa"/>
            <w:tcBorders/>
            <w:vAlign w:val="center"/>
          </w:tcPr>
          <w:p>
            <w:pPr>
              <w:pStyle w:val="TableContents"/>
              <w:bidi w:val="0"/>
              <w:spacing w:before="0" w:after="0"/>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7,229 options granted and outstanding at March 31, 2026, 4,617 are fully vested and exercisable.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options issued was estimated using the Black-Scholes option pricing model using the assumptions in the table below. The expected volatility was determined using historical volatility of our stock based on the expected term of the award. </w:t>
      </w:r>
    </w:p>
    <w:p>
      <w:pPr>
        <w:pStyle w:val="TextBody"/>
        <w:bidi w:val="0"/>
        <w:spacing w:before="0" w:after="240"/>
        <w:ind w:left="0" w:right="0" w:hanging="0"/>
        <w:jc w:val="both"/>
        <w:rPr/>
      </w:pPr>
      <w:r>
        <w:rPr/>
        <w:t>​</w:t>
      </w:r>
    </w:p>
    <w:tbl>
      <w:tblPr>
        <w:tblW w:w="5247" w:type="dxa"/>
        <w:jc w:val="left"/>
        <w:tblInd w:w="0" w:type="dxa"/>
        <w:tblLayout w:type="fixed"/>
        <w:tblCellMar>
          <w:top w:w="0" w:type="dxa"/>
          <w:left w:w="0" w:type="dxa"/>
          <w:bottom w:w="0" w:type="dxa"/>
          <w:right w:w="0" w:type="dxa"/>
        </w:tblCellMar>
      </w:tblPr>
      <w:tblGrid>
        <w:gridCol w:w="3001"/>
        <w:gridCol w:w="146"/>
        <w:gridCol w:w="879"/>
        <w:gridCol w:w="122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05635" cy="175260"/>
                      <wp:effectExtent l="0" t="0" r="0" b="0"/>
                      <wp:wrapNone/>
                      <wp:docPr id="92" name="Frame92"/>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3" name="Frame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58165" cy="175260"/>
                      <wp:effectExtent l="0" t="0" r="0" b="0"/>
                      <wp:wrapNone/>
                      <wp:docPr id="94" name="Frame94"/>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75335" cy="175260"/>
                      <wp:effectExtent l="0" t="0" r="0" b="0"/>
                      <wp:wrapNone/>
                      <wp:docPr id="95" name="Frame95"/>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Valuation Assumptions</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2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2026</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22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22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Performance-Based Units</w:t>
      </w:r>
    </w:p>
    <w:p>
      <w:pPr>
        <w:pStyle w:val="TextBody"/>
        <w:bidi w:val="0"/>
        <w:spacing w:before="0" w:after="0"/>
        <w:ind w:left="0" w:right="0" w:hanging="0"/>
        <w:jc w:val="both"/>
        <w:rPr/>
      </w:pPr>
      <w:r>
        <w:rPr/>
        <w:t>​</w:t>
      </w:r>
      <w:r>
        <w:rPr>
          <w:rFonts w:ascii="Times New Roman;Times;serif" w:hAnsi="Times New Roman;Times;serif"/>
          <w:b/>
          <w:sz w:val="20"/>
        </w:rPr>
        <w:br/>
      </w:r>
      <w:r>
        <w:rPr>
          <w:rFonts w:ascii="Times New Roman;Times;serif" w:hAnsi="Times New Roman;Times;serif"/>
          <w:sz w:val="20"/>
        </w:rPr>
        <w:t>In May and August 2025, the Board of Directors approved grants of performance-based restricted share units (“PSUs”) that vest based on the achievement of specified revenue performance milestones for 2025, and the related compensation cost was fully recognized in 2025. During the three months ended March 31, 2026, no additional PSUs were granted, and certain PSUs vested and were released in accordance with the original terms of the awards.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Restricted Share Units</w:t>
      </w:r>
      <w:r>
        <w:rPr>
          <w:rFonts w:ascii="Times New Roman;Times;serif" w:hAnsi="Times New Roman;Times;serif"/>
          <w:sz w:val="20"/>
        </w:rPr>
        <w:t xml:space="preserve"> </w:t>
      </w:r>
      <w:r>
        <w:rPr>
          <w:rFonts w:ascii="Times New Roman;Times;serif" w:hAnsi="Times New Roman;Times;serif"/>
          <w:b/>
          <w:sz w:val="20"/>
        </w:rPr>
        <w:t>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Plan allows for the issuance of restricted share units (“RSUs”). The following is a summary of RSU activity for the three months ended March 31, 2026, and 2025. The Company recognized $384 in RSU expense for the three months ended March 31, 2026, and $255 for the same period in 2025. Standard vesting of  RSUs is over three years with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/3 vesting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87" w:name="Tc_H_qFAd42JUutG6Op3gbdqg_7_0"/>
      <w:bookmarkStart w:id="588" w:name="Tc_kENbi2eBOEiJaoqotdc36w_6_2"/>
      <w:bookmarkStart w:id="589" w:name="Tc_seCnXmaQ30OYcsol20fMFw_6_0"/>
      <w:bookmarkStart w:id="590" w:name="Tc_iuBEtwxb-UqmxdyVUJgrkQ_5_0"/>
      <w:bookmarkStart w:id="591" w:name="Tc_GECiLQL0n0CT73WdZIIWpA_4_0"/>
      <w:bookmarkStart w:id="592" w:name="Tc_XazROByLHk-epjxHrr2zXg_3_0"/>
      <w:bookmarkStart w:id="593" w:name="Tc_ZP3wDSApYUm7THyvwdjTMg_2_2"/>
      <w:bookmarkStart w:id="594" w:name="Tc_e_8iJ9LTLUOWFd30GmAqtA_2_0"/>
      <w:bookmarkStart w:id="595" w:name="Tc_PoC2iN2CCUqOMKPLD2sKXA_1_2"/>
      <w:bookmarkEnd w:id="587"/>
      <w:bookmarkEnd w:id="588"/>
      <w:bookmarkEnd w:id="589"/>
      <w:bookmarkEnd w:id="590"/>
      <w:bookmarkEnd w:id="591"/>
      <w:bookmarkEnd w:id="592"/>
      <w:bookmarkEnd w:id="593"/>
      <w:bookmarkEnd w:id="594"/>
      <w:bookmarkEnd w:id="595"/>
      <w:r>
        <w:rPr>
          <w:rFonts w:ascii="Times New Roman;Times;serif" w:hAnsi="Times New Roman;Times;serif"/>
          <w:sz w:val="20"/>
        </w:rPr>
        <w:t xml:space="preserve">the first anniversary date of the grant and then </w:t>
      </w:r>
      <w:r>
        <w:rPr>
          <w:rFonts w:ascii="Times New Roman;Times;serif" w:hAnsi="Times New Roman;Times;serif"/>
          <w:b w:val="false"/>
          <w:i w:val="false"/>
          <w:caps w:val="false"/>
          <w:smallCaps w:val="false"/>
          <w:sz w:val="20"/>
        </w:rPr>
        <w:t>1</w:t>
      </w:r>
      <w:r>
        <w:rPr>
          <w:rFonts w:ascii="Times New Roman;Times;serif" w:hAnsi="Times New Roman;Times;serif"/>
          <w:sz w:val="20"/>
        </w:rPr>
        <w:t>/24 on the last day of each subsequent month. The Compensation Committee may also award RSUs with alternative vesting.</w:t>
      </w:r>
    </w:p>
    <w:p>
      <w:pPr>
        <w:pStyle w:val="TextBody"/>
        <w:bidi w:val="0"/>
        <w:spacing w:before="0" w:after="240"/>
        <w:ind w:left="0" w:right="0" w:hanging="0"/>
        <w:jc w:val="both"/>
        <w:rPr/>
      </w:pPr>
      <w:r>
        <w:rPr/>
        <w:t>​</w:t>
      </w:r>
    </w:p>
    <w:tbl>
      <w:tblPr>
        <w:tblW w:w="5158" w:type="dxa"/>
        <w:jc w:val="left"/>
        <w:tblInd w:w="0" w:type="dxa"/>
        <w:tblLayout w:type="fixed"/>
        <w:tblCellMar>
          <w:top w:w="0" w:type="dxa"/>
          <w:left w:w="0" w:type="dxa"/>
          <w:bottom w:w="0" w:type="dxa"/>
          <w:right w:w="0" w:type="dxa"/>
        </w:tblCellMar>
      </w:tblPr>
      <w:tblGrid>
        <w:gridCol w:w="2941"/>
        <w:gridCol w:w="146"/>
        <w:gridCol w:w="207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67535" cy="175260"/>
                      <wp:effectExtent l="0" t="0" r="0" b="0"/>
                      <wp:wrapNone/>
                      <wp:docPr id="96" name="Frame9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2710" cy="175260"/>
                      <wp:effectExtent l="0" t="0" r="0" b="0"/>
                      <wp:wrapNone/>
                      <wp:docPr id="97"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15085" cy="175260"/>
                      <wp:effectExtent l="0" t="0" r="0" b="0"/>
                      <wp:wrapNone/>
                      <wp:docPr id="98" name="Frame9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Number of Restricted </w:t>
            </w:r>
          </w:p>
        </w:tc>
      </w:tr>
      <w:tr>
        <w:trPr/>
        <w:tc>
          <w:tcPr>
            <w:tcW w:w="29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Awards Current Year</w:t>
            </w:r>
          </w:p>
        </w:tc>
        <w:tc>
          <w:tcPr>
            <w:tcW w:w="146" w:type="dxa"/>
            <w:tcBorders/>
            <w:vAlign w:val="center"/>
          </w:tcPr>
          <w:p>
            <w:pPr>
              <w:pStyle w:val="TableContents"/>
              <w:bidi w:val="0"/>
              <w:spacing w:before="0" w:after="1"/>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Units (thousands)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 </w:t>
            </w:r>
          </w:p>
        </w:tc>
        <w:tc>
          <w:tcPr>
            <w:tcW w:w="2071" w:type="dxa"/>
            <w:tcBorders/>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20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2026</w:t>
            </w:r>
          </w:p>
        </w:tc>
        <w:tc>
          <w:tcPr>
            <w:tcW w:w="146" w:type="dxa"/>
            <w:tcBorders/>
            <w:shd w:fill="CCEEFF" w:val="clear"/>
            <w:vAlign w:val="center"/>
          </w:tcPr>
          <w:p>
            <w:pPr>
              <w:pStyle w:val="TableContents"/>
              <w:bidi w:val="0"/>
              <w:spacing w:before="0" w:after="1"/>
              <w:ind w:left="0" w:right="0" w:hanging="0"/>
              <w:jc w:val="left"/>
              <w:rPr/>
            </w:pPr>
            <w:r>
              <w:rPr/>
              <w:t>​</w:t>
            </w:r>
          </w:p>
        </w:tc>
        <w:tc>
          <w:tcPr>
            <w:tcW w:w="20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512</w: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07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RSUs issued was estimated using the share price on the date of the award multiplied by the number of shares granted.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96" w:name="Tc_61JUS8TY2UCtvW5PmzDLNQ_10_18"/>
      <w:bookmarkStart w:id="597" w:name="Tc_pMmKerMwnEG6VVq-qBCdng_10_16"/>
      <w:bookmarkStart w:id="598" w:name="Tc_2qGQehNQBkWRPW5fXEajIQ_10_15"/>
      <w:bookmarkStart w:id="599" w:name="Tc_ioImC1VzF0y8QBIiZaYVsw_10_14"/>
      <w:bookmarkStart w:id="600" w:name="Tc_gVK-1vXzrEmXADOsnMFMzQ_10_13"/>
      <w:bookmarkStart w:id="601" w:name="Tc_jecKWXUlTUaXMwwd75iUug_10_12"/>
      <w:bookmarkStart w:id="602" w:name="Tc_CaHpWdne7U28_xf5iPYhAA_10_11"/>
      <w:bookmarkStart w:id="603" w:name="Tc__kg7MR37lUuvunWnx1PtcQ_10_10"/>
      <w:bookmarkStart w:id="604" w:name="Tc_c4-j5vXiCkK1zgx4RPHRDQ_10_8"/>
      <w:bookmarkStart w:id="605" w:name="Tc_rs8HR-MsTEWm-Xvghm53Vw_10_7"/>
      <w:bookmarkStart w:id="606" w:name="Tc_lNk6lTnD-kKm5N4mc3vYmg_10_6"/>
      <w:bookmarkStart w:id="607" w:name="Tc_5OUDPOpmTk-oDcJhAq4qcg_10_4"/>
      <w:bookmarkStart w:id="608" w:name="Tc_3bWQT34jr0yW4cj3E1qXaA_10_3"/>
      <w:bookmarkStart w:id="609" w:name="Tc_bjrrDOwcSk6Ns1KYiAJyQg_10_1"/>
      <w:bookmarkStart w:id="610" w:name="Tc_-g6AHZ2cvUCM9wkpt0mI2w_10_0"/>
      <w:bookmarkStart w:id="611" w:name="Tc_vh39PpAN4Uy6OYLvyEoqcQ_9_18"/>
      <w:bookmarkStart w:id="612" w:name="Tc_fXyMhW3PrUCgK3KGKMmzyw_9_16"/>
      <w:bookmarkStart w:id="613" w:name="Tc_oNeMvI8uo0GfAEHJVwQOtQ_9_15"/>
      <w:bookmarkStart w:id="614" w:name="Tc_-JSIpDFOqUy3p7tsV2PWzQ_9_14"/>
      <w:bookmarkStart w:id="615" w:name="Tc_BLStO7_XiUeOmVrMFvKhgg_9_13"/>
      <w:bookmarkStart w:id="616" w:name="Tc_MuEUSpw-rka4Oq1I4WVtnA_9_12"/>
      <w:bookmarkStart w:id="617" w:name="Tc__nfcl0hlCEeT7DdkmuI_Ag_9_10"/>
      <w:bookmarkStart w:id="618" w:name="Tc_51EwS_VVRk6jPdrw5Y0jDA_9_7"/>
      <w:bookmarkStart w:id="619" w:name="Tc_6rO39LC-mk6e5Wie-0MHDA_9_6"/>
      <w:bookmarkStart w:id="620" w:name="Tc_SrHmvrmyrUq5DYSwaWTeSQ_9_4"/>
      <w:bookmarkStart w:id="621" w:name="Tc_TzrHZjwjMEmntZFAmiLmEA_9_3"/>
      <w:bookmarkStart w:id="622" w:name="Tc_3AkNw3FtTkiHllpnwcMedw_9_1"/>
      <w:bookmarkStart w:id="623" w:name="Tc_4n2_zXhUMk-awg5k_vyRAg_9_0"/>
      <w:bookmarkStart w:id="624" w:name="Tc_AMLHux7apkSIku0KIOvCvw_8_0"/>
      <w:bookmarkStart w:id="625" w:name="Tc_Qga04C9jB0mwQwhhKbxHgg_7_19"/>
      <w:bookmarkStart w:id="626" w:name="Tc_SMVwpa9m80inPLey4S_Hsw_7_17"/>
      <w:bookmarkStart w:id="627" w:name="Tc_ZRlJv1CBFEWVKaPrnViUeg_7_15"/>
      <w:bookmarkStart w:id="628" w:name="Tc_uzhXPJKFWE2WDoCA8Fwv7A_7_13"/>
      <w:bookmarkStart w:id="629" w:name="Tc_JONQzMSfB0iwn7OwSeiTsA_7_10"/>
      <w:bookmarkStart w:id="630" w:name="Tc_W8axmPXUtki5lfB2-V2KzQ_7_7"/>
      <w:bookmarkStart w:id="631" w:name="Tc_UCsb_VaY8UaCvfBuTyfNmQ_7_4"/>
      <w:bookmarkStart w:id="632" w:name="Tc_IJ6oKXOt5EK4X6CJp9ScYw_7_2"/>
      <w:bookmarkStart w:id="633" w:name="Tc_q3YP0B0kAk6LD8bI269-sQ_6_17"/>
      <w:bookmarkStart w:id="634" w:name="Tc_XAXVhApkMkicXNWou-5xpg_6_13"/>
      <w:bookmarkStart w:id="635" w:name="Tc_gM0-aP0kYkiqSHJCQbD3hQ_6_6"/>
      <w:bookmarkStart w:id="636" w:name="Tc_33ggZW-7OkKqSqssA_7ACw_6_2"/>
      <w:bookmarkStart w:id="637" w:name="Tc_qkOdTi0WrU-reaKz-Guszw_5_13"/>
      <w:bookmarkStart w:id="638" w:name="Tc_oc-OvAsf6EW-HlytEKWXeA_5_6"/>
      <w:bookmarkStart w:id="639" w:name="Tc_On6hhaBXSU2XIIvAnxxThw_5_2"/>
      <w:bookmarkStart w:id="640" w:name="Tc_KRBiKu1sOE6KKVjIDJFJQA_4_13"/>
      <w:bookmarkStart w:id="641" w:name="Tc_oZMvRaLP_UGoxTz7hIpF9w_4_6"/>
      <w:bookmarkStart w:id="642" w:name="Tc_wAo1ShaZeUCsBF0C5dnoxg_4_2"/>
      <w:bookmarkStart w:id="643" w:name="Tc_iY7UNN8Vgku2DmqM-Liz6w_3_2"/>
      <w:bookmarkStart w:id="644" w:name="Tc_usYMxPPir0mNGkKpkdyOWA_2_2"/>
      <w:bookmarkStart w:id="645" w:name="Tc_A4sAlPKBE0ODyHgsoP_rgQ_1_2"/>
      <w:bookmarkStart w:id="646" w:name="_2ff789f1_b91f_4240_a30c_11b63bdd2feb"/>
      <w:bookmarkStart w:id="647" w:name="_Hlk401991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ascii="Times New Roman;Times;serif" w:hAnsi="Times New Roman;Times;serif"/>
          <w:b/>
          <w:sz w:val="20"/>
        </w:rPr>
        <w:t>5.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Observable inputs other than quoted prices included in Level 1, including quoted prices for similar assets or liabilities in active markets or other inputs that are observable or can be corroborated by observable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Unobservable inputs supported by little or no market activity that are significant to the fair value of the assets or liabilities.</w:t>
      </w:r>
    </w:p>
    <w:p>
      <w:pPr>
        <w:pStyle w:val="TextBody"/>
        <w:bidi w:val="0"/>
        <w:spacing w:before="0" w:after="240"/>
        <w:ind w:left="0" w:right="0" w:hanging="0"/>
        <w:jc w:val="both"/>
        <w:rPr/>
      </w:pPr>
      <w:r>
        <w:rPr/>
        <w:t>​</w:t>
      </w:r>
    </w:p>
    <w:p>
      <w:pPr>
        <w:pStyle w:val="TextBody"/>
        <w:bidi w:val="0"/>
        <w:spacing w:lineRule="auto" w:line="288" w:before="0" w:after="240"/>
        <w:ind w:left="0" w:right="147" w:hanging="0"/>
        <w:jc w:val="both"/>
        <w:rPr>
          <w:rFonts w:ascii="Times New Roman;Times;serif" w:hAnsi="Times New Roman;Times;serif"/>
          <w:sz w:val="20"/>
        </w:rPr>
      </w:pPr>
      <w:r>
        <w:rPr>
          <w:rFonts w:ascii="Times New Roman;Times;serif" w:hAnsi="Times New Roman;Times;serif"/>
          <w:sz w:val="20"/>
        </w:rPr>
        <w:t>Financial assets and liabilities are classified in their entirety based on the lowest level of input that is significant to the fair value measurement. The Company measures the fair value of its Processa Pharmaceuticals, Inc. (“Processa”) common shares using quoted market prices in active markets.</w:t>
      </w:r>
    </w:p>
    <w:p>
      <w:pPr>
        <w:pStyle w:val="TextBody"/>
        <w:bidi w:val="0"/>
        <w:spacing w:lineRule="auto" w:line="288" w:before="1" w:after="240"/>
        <w:ind w:left="0" w:right="138" w:hanging="0"/>
        <w:jc w:val="both"/>
        <w:rPr>
          <w:rFonts w:ascii="Times New Roman;Times;serif" w:hAnsi="Times New Roman;Times;serif"/>
          <w:sz w:val="20"/>
        </w:rPr>
      </w:pPr>
      <w:r>
        <w:rPr>
          <w:rFonts w:ascii="Times New Roman;Times;serif" w:hAnsi="Times New Roman;Times;serif"/>
          <w:sz w:val="20"/>
        </w:rPr>
        <w:t>As</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7"/>
          <w:sz w:val="20"/>
        </w:rPr>
        <w:t xml:space="preserve"> </w:t>
      </w:r>
      <w:r>
        <w:rPr>
          <w:rFonts w:ascii="Times New Roman;Times;serif" w:hAnsi="Times New Roman;Times;serif"/>
          <w:sz w:val="20"/>
        </w:rPr>
        <w:t>March</w:t>
      </w:r>
      <w:r>
        <w:rPr>
          <w:rFonts w:ascii="Times New Roman;Times;serif" w:hAnsi="Times New Roman;Times;serif"/>
          <w:spacing w:val="27"/>
          <w:sz w:val="20"/>
        </w:rPr>
        <w:t xml:space="preserve"> </w:t>
      </w:r>
      <w:r>
        <w:rPr>
          <w:rFonts w:ascii="Times New Roman;Times;serif" w:hAnsi="Times New Roman;Times;serif"/>
          <w:sz w:val="20"/>
        </w:rPr>
        <w:t>31,</w:t>
      </w:r>
      <w:r>
        <w:rPr>
          <w:rFonts w:ascii="Times New Roman;Times;serif" w:hAnsi="Times New Roman;Times;serif"/>
          <w:spacing w:val="27"/>
          <w:sz w:val="20"/>
        </w:rPr>
        <w:t xml:space="preserve"> </w:t>
      </w:r>
      <w:r>
        <w:rPr>
          <w:rFonts w:ascii="Times New Roman;Times;serif" w:hAnsi="Times New Roman;Times;serif"/>
          <w:sz w:val="20"/>
        </w:rPr>
        <w:t>2026,</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Company</w:t>
      </w:r>
      <w:r>
        <w:rPr>
          <w:rFonts w:ascii="Times New Roman;Times;serif" w:hAnsi="Times New Roman;Times;serif"/>
          <w:spacing w:val="27"/>
          <w:sz w:val="20"/>
        </w:rPr>
        <w:t xml:space="preserve"> </w:t>
      </w:r>
      <w:r>
        <w:rPr>
          <w:rFonts w:ascii="Times New Roman;Times;serif" w:hAnsi="Times New Roman;Times;serif"/>
          <w:sz w:val="20"/>
        </w:rPr>
        <w:t>had</w:t>
      </w:r>
      <w:r>
        <w:rPr>
          <w:rFonts w:ascii="Times New Roman;Times;serif" w:hAnsi="Times New Roman;Times;serif"/>
          <w:spacing w:val="27"/>
          <w:sz w:val="20"/>
        </w:rPr>
        <w:t xml:space="preserve"> </w:t>
      </w:r>
      <w:r>
        <w:rPr>
          <w:rFonts w:ascii="Times New Roman;Times;serif" w:hAnsi="Times New Roman;Times;serif"/>
          <w:sz w:val="20"/>
        </w:rPr>
        <w:t>financial</w:t>
      </w:r>
      <w:r>
        <w:rPr>
          <w:rFonts w:ascii="Times New Roman;Times;serif" w:hAnsi="Times New Roman;Times;serif"/>
          <w:spacing w:val="27"/>
          <w:sz w:val="20"/>
        </w:rPr>
        <w:t xml:space="preserve"> </w:t>
      </w:r>
      <w:r>
        <w:rPr>
          <w:rFonts w:ascii="Times New Roman;Times;serif" w:hAnsi="Times New Roman;Times;serif"/>
          <w:sz w:val="20"/>
        </w:rPr>
        <w:t>assets</w:t>
      </w:r>
      <w:r>
        <w:rPr>
          <w:rFonts w:ascii="Times New Roman;Times;serif" w:hAnsi="Times New Roman;Times;serif"/>
          <w:spacing w:val="27"/>
          <w:sz w:val="20"/>
        </w:rPr>
        <w:t xml:space="preserve"> </w:t>
      </w:r>
      <w:r>
        <w:rPr>
          <w:rFonts w:ascii="Times New Roman;Times;serif" w:hAnsi="Times New Roman;Times;serif"/>
          <w:sz w:val="20"/>
        </w:rPr>
        <w:t>valued</w:t>
      </w:r>
      <w:r>
        <w:rPr>
          <w:rFonts w:ascii="Times New Roman;Times;serif" w:hAnsi="Times New Roman;Times;serif"/>
          <w:spacing w:val="27"/>
          <w:sz w:val="20"/>
        </w:rPr>
        <w:t xml:space="preserve"> </w:t>
      </w:r>
      <w:r>
        <w:rPr>
          <w:rFonts w:ascii="Times New Roman;Times;serif" w:hAnsi="Times New Roman;Times;serif"/>
          <w:sz w:val="20"/>
        </w:rPr>
        <w:t>based</w:t>
      </w:r>
      <w:r>
        <w:rPr>
          <w:rFonts w:ascii="Times New Roman;Times;serif" w:hAnsi="Times New Roman;Times;serif"/>
          <w:spacing w:val="27"/>
          <w:sz w:val="20"/>
        </w:rPr>
        <w:t xml:space="preserve"> </w:t>
      </w:r>
      <w:r>
        <w:rPr>
          <w:rFonts w:ascii="Times New Roman;Times;serif" w:hAnsi="Times New Roman;Times;serif"/>
          <w:sz w:val="20"/>
        </w:rPr>
        <w:t>on</w:t>
      </w:r>
      <w:r>
        <w:rPr>
          <w:rFonts w:ascii="Times New Roman;Times;serif" w:hAnsi="Times New Roman;Times;serif"/>
          <w:spacing w:val="27"/>
          <w:sz w:val="20"/>
        </w:rPr>
        <w:t xml:space="preserve"> </w:t>
      </w:r>
      <w:r>
        <w:rPr>
          <w:rFonts w:ascii="Times New Roman;Times;serif" w:hAnsi="Times New Roman;Times;serif"/>
          <w:sz w:val="20"/>
        </w:rPr>
        <w:t>Level</w:t>
      </w:r>
      <w:r>
        <w:rPr>
          <w:rFonts w:ascii="Times New Roman;Times;serif" w:hAnsi="Times New Roman;Times;serif"/>
          <w:spacing w:val="27"/>
          <w:sz w:val="20"/>
        </w:rPr>
        <w:t xml:space="preserve"> </w:t>
      </w:r>
      <w:r>
        <w:rPr>
          <w:rFonts w:ascii="Times New Roman;Times;serif" w:hAnsi="Times New Roman;Times;serif"/>
          <w:sz w:val="20"/>
        </w:rPr>
        <w:t>1</w:t>
      </w:r>
      <w:r>
        <w:rPr>
          <w:rFonts w:ascii="Times New Roman;Times;serif" w:hAnsi="Times New Roman;Times;serif"/>
          <w:spacing w:val="27"/>
          <w:sz w:val="20"/>
        </w:rPr>
        <w:t xml:space="preserve"> </w:t>
      </w:r>
      <w:r>
        <w:rPr>
          <w:rFonts w:ascii="Times New Roman;Times;serif" w:hAnsi="Times New Roman;Times;serif"/>
          <w:sz w:val="20"/>
        </w:rPr>
        <w:t>inputs</w:t>
      </w:r>
      <w:r>
        <w:rPr>
          <w:rFonts w:ascii="Times New Roman;Times;serif" w:hAnsi="Times New Roman;Times;serif"/>
          <w:spacing w:val="27"/>
          <w:sz w:val="20"/>
        </w:rPr>
        <w:t xml:space="preserve"> </w:t>
      </w:r>
      <w:r>
        <w:rPr>
          <w:rFonts w:ascii="Times New Roman;Times;serif" w:hAnsi="Times New Roman;Times;serif"/>
          <w:sz w:val="20"/>
        </w:rPr>
        <w:t>consisting</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7"/>
          <w:sz w:val="20"/>
        </w:rPr>
        <w:t xml:space="preserve"> </w:t>
      </w:r>
      <w:r>
        <w:rPr>
          <w:rFonts w:ascii="Times New Roman;Times;serif" w:hAnsi="Times New Roman;Times;serif"/>
          <w:sz w:val="20"/>
        </w:rPr>
        <w:t>cash</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cash</w:t>
      </w:r>
      <w:r>
        <w:rPr>
          <w:rFonts w:ascii="Times New Roman;Times;serif" w:hAnsi="Times New Roman;Times;serif"/>
          <w:spacing w:val="27"/>
          <w:sz w:val="20"/>
        </w:rPr>
        <w:t xml:space="preserve"> </w:t>
      </w:r>
      <w:r>
        <w:rPr>
          <w:rFonts w:ascii="Times New Roman;Times;serif" w:hAnsi="Times New Roman;Times;serif"/>
          <w:sz w:val="20"/>
        </w:rPr>
        <w:t>equivalents</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had</w:t>
      </w:r>
      <w:r>
        <w:rPr>
          <w:rFonts w:ascii="Times New Roman;Times;serif" w:hAnsi="Times New Roman;Times;serif"/>
          <w:spacing w:val="40"/>
          <w:sz w:val="20"/>
        </w:rPr>
        <w:t xml:space="preserve"> </w:t>
      </w:r>
      <w:r>
        <w:rPr>
          <w:rFonts w:ascii="Times New Roman;Times;serif" w:hAnsi="Times New Roman;Times;serif"/>
          <w:sz w:val="20"/>
        </w:rPr>
        <w:t>financial</w:t>
      </w:r>
      <w:r>
        <w:rPr>
          <w:rFonts w:ascii="Times New Roman;Times;serif" w:hAnsi="Times New Roman;Times;serif"/>
          <w:spacing w:val="40"/>
          <w:sz w:val="20"/>
        </w:rPr>
        <w:t xml:space="preserve"> </w:t>
      </w:r>
      <w:r>
        <w:rPr>
          <w:rFonts w:ascii="Times New Roman;Times;serif" w:hAnsi="Times New Roman;Times;serif"/>
          <w:sz w:val="20"/>
        </w:rPr>
        <w:t>assets</w:t>
      </w:r>
      <w:r>
        <w:rPr>
          <w:rFonts w:ascii="Times New Roman;Times;serif" w:hAnsi="Times New Roman;Times;serif"/>
          <w:spacing w:val="40"/>
          <w:sz w:val="20"/>
        </w:rPr>
        <w:t xml:space="preserve"> </w:t>
      </w:r>
      <w:r>
        <w:rPr>
          <w:rFonts w:ascii="Times New Roman;Times;serif" w:hAnsi="Times New Roman;Times;serif"/>
          <w:sz w:val="20"/>
        </w:rPr>
        <w:t>based</w:t>
      </w:r>
      <w:r>
        <w:rPr>
          <w:rFonts w:ascii="Times New Roman;Times;serif" w:hAnsi="Times New Roman;Times;serif"/>
          <w:spacing w:val="40"/>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Level</w:t>
      </w:r>
      <w:r>
        <w:rPr>
          <w:rFonts w:ascii="Times New Roman;Times;serif" w:hAnsi="Times New Roman;Times;serif"/>
          <w:spacing w:val="40"/>
          <w:sz w:val="20"/>
        </w:rPr>
        <w:t xml:space="preserve"> </w:t>
      </w:r>
      <w:r>
        <w:rPr>
          <w:rFonts w:ascii="Times New Roman;Times;serif" w:hAnsi="Times New Roman;Times;serif"/>
          <w:sz w:val="20"/>
        </w:rPr>
        <w:t>2</w:t>
      </w:r>
      <w:r>
        <w:rPr>
          <w:rFonts w:ascii="Times New Roman;Times;serif" w:hAnsi="Times New Roman;Times;serif"/>
          <w:spacing w:val="40"/>
          <w:sz w:val="20"/>
        </w:rPr>
        <w:t xml:space="preserve"> </w:t>
      </w:r>
      <w:r>
        <w:rPr>
          <w:rFonts w:ascii="Times New Roman;Times;serif" w:hAnsi="Times New Roman;Times;serif"/>
          <w:sz w:val="20"/>
        </w:rPr>
        <w:t>inputs</w:t>
      </w:r>
      <w:r>
        <w:rPr>
          <w:rFonts w:ascii="Times New Roman;Times;serif" w:hAnsi="Times New Roman;Times;serif"/>
          <w:spacing w:val="40"/>
          <w:sz w:val="20"/>
        </w:rPr>
        <w:t xml:space="preserve"> </w:t>
      </w:r>
      <w:r>
        <w:rPr>
          <w:rFonts w:ascii="Times New Roman;Times;serif" w:hAnsi="Times New Roman;Times;serif"/>
          <w:sz w:val="20"/>
        </w:rPr>
        <w:t>consisting</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Processa common shares.</w:t>
      </w:r>
      <w:r>
        <w:rPr>
          <w:rFonts w:ascii="Times New Roman;Times;serif" w:hAnsi="Times New Roman;Times;serif"/>
          <w:spacing w:val="17"/>
          <w:sz w:val="20"/>
        </w:rPr>
        <w:t xml:space="preserve"> </w:t>
      </w:r>
      <w:r>
        <w:rPr>
          <w:rFonts w:ascii="Times New Roman;Times;serif" w:hAnsi="Times New Roman;Times;serif"/>
          <w:sz w:val="20"/>
        </w:rPr>
        <w:t>During</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6"/>
          <w:sz w:val="20"/>
        </w:rPr>
        <w:t xml:space="preserve"> three months</w:t>
      </w:r>
      <w:r>
        <w:rPr>
          <w:rFonts w:ascii="Times New Roman;Times;serif" w:hAnsi="Times New Roman;Times;serif"/>
          <w:spacing w:val="17"/>
          <w:sz w:val="20"/>
        </w:rPr>
        <w:t xml:space="preserve"> </w:t>
      </w:r>
      <w:r>
        <w:rPr>
          <w:rFonts w:ascii="Times New Roman;Times;serif" w:hAnsi="Times New Roman;Times;serif"/>
          <w:sz w:val="20"/>
        </w:rPr>
        <w:t>ended</w:t>
      </w:r>
      <w:r>
        <w:rPr>
          <w:rFonts w:ascii="Times New Roman;Times;serif" w:hAnsi="Times New Roman;Times;serif"/>
          <w:spacing w:val="16"/>
          <w:sz w:val="20"/>
        </w:rPr>
        <w:t xml:space="preserve"> </w:t>
      </w:r>
      <w:r>
        <w:rPr>
          <w:rFonts w:ascii="Times New Roman;Times;serif" w:hAnsi="Times New Roman;Times;serif"/>
          <w:sz w:val="20"/>
        </w:rPr>
        <w:t>March</w:t>
      </w:r>
      <w:r>
        <w:rPr>
          <w:rFonts w:ascii="Times New Roman;Times;serif" w:hAnsi="Times New Roman;Times;serif"/>
          <w:spacing w:val="17"/>
          <w:sz w:val="20"/>
        </w:rPr>
        <w:t xml:space="preserve"> </w:t>
      </w:r>
      <w:r>
        <w:rPr>
          <w:rFonts w:ascii="Times New Roman;Times;serif" w:hAnsi="Times New Roman;Times;serif"/>
          <w:sz w:val="20"/>
        </w:rPr>
        <w:t>31,</w:t>
      </w:r>
      <w:r>
        <w:rPr>
          <w:rFonts w:ascii="Times New Roman;Times;serif" w:hAnsi="Times New Roman;Times;serif"/>
          <w:spacing w:val="17"/>
          <w:sz w:val="20"/>
        </w:rPr>
        <w:t xml:space="preserve"> </w:t>
      </w:r>
      <w:r>
        <w:rPr>
          <w:rFonts w:ascii="Times New Roman;Times;serif" w:hAnsi="Times New Roman;Times;serif"/>
          <w:sz w:val="20"/>
        </w:rPr>
        <w:t>2026,</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16"/>
          <w:sz w:val="20"/>
        </w:rPr>
        <w:t xml:space="preserve"> </w:t>
      </w:r>
      <w:r>
        <w:rPr>
          <w:rFonts w:ascii="Times New Roman;Times;serif" w:hAnsi="Times New Roman;Times;serif"/>
          <w:sz w:val="20"/>
        </w:rPr>
        <w:t>Company</w:t>
      </w:r>
      <w:r>
        <w:rPr>
          <w:rFonts w:ascii="Times New Roman;Times;serif" w:hAnsi="Times New Roman;Times;serif"/>
          <w:spacing w:val="16"/>
          <w:sz w:val="20"/>
        </w:rPr>
        <w:t xml:space="preserve"> </w:t>
      </w:r>
      <w:r>
        <w:rPr>
          <w:rFonts w:ascii="Times New Roman;Times;serif" w:hAnsi="Times New Roman;Times;serif"/>
          <w:sz w:val="20"/>
        </w:rPr>
        <w:t>did</w:t>
      </w:r>
      <w:r>
        <w:rPr>
          <w:rFonts w:ascii="Times New Roman;Times;serif" w:hAnsi="Times New Roman;Times;serif"/>
          <w:spacing w:val="17"/>
          <w:sz w:val="20"/>
        </w:rPr>
        <w:t xml:space="preserve"> </w:t>
      </w:r>
      <w:r>
        <w:rPr>
          <w:rFonts w:ascii="Times New Roman;Times;serif" w:hAnsi="Times New Roman;Times;serif"/>
          <w:sz w:val="20"/>
        </w:rPr>
        <w:t>not</w:t>
      </w:r>
      <w:r>
        <w:rPr>
          <w:rFonts w:ascii="Times New Roman;Times;serif" w:hAnsi="Times New Roman;Times;serif"/>
          <w:spacing w:val="17"/>
          <w:sz w:val="20"/>
        </w:rPr>
        <w:t xml:space="preserve"> </w:t>
      </w:r>
      <w:r>
        <w:rPr>
          <w:rFonts w:ascii="Times New Roman;Times;serif" w:hAnsi="Times New Roman;Times;serif"/>
          <w:sz w:val="20"/>
        </w:rPr>
        <w:t>have</w:t>
      </w:r>
      <w:r>
        <w:rPr>
          <w:rFonts w:ascii="Times New Roman;Times;serif" w:hAnsi="Times New Roman;Times;serif"/>
          <w:spacing w:val="17"/>
          <w:sz w:val="20"/>
        </w:rPr>
        <w:t xml:space="preserve"> </w:t>
      </w:r>
      <w:r>
        <w:rPr>
          <w:rFonts w:ascii="Times New Roman;Times;serif" w:hAnsi="Times New Roman;Times;serif"/>
          <w:sz w:val="20"/>
        </w:rPr>
        <w:t>any</w:t>
      </w:r>
      <w:r>
        <w:rPr>
          <w:rFonts w:ascii="Times New Roman;Times;serif" w:hAnsi="Times New Roman;Times;serif"/>
          <w:spacing w:val="16"/>
          <w:sz w:val="20"/>
        </w:rPr>
        <w:t xml:space="preserve"> </w:t>
      </w:r>
      <w:r>
        <w:rPr>
          <w:rFonts w:ascii="Times New Roman;Times;serif" w:hAnsi="Times New Roman;Times;serif"/>
          <w:sz w:val="20"/>
        </w:rPr>
        <w:t>transfers</w:t>
      </w:r>
      <w:r>
        <w:rPr>
          <w:rFonts w:ascii="Times New Roman;Times;serif" w:hAnsi="Times New Roman;Times;serif"/>
          <w:spacing w:val="16"/>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financial</w:t>
      </w:r>
      <w:r>
        <w:rPr>
          <w:rFonts w:ascii="Times New Roman;Times;serif" w:hAnsi="Times New Roman;Times;serif"/>
          <w:spacing w:val="17"/>
          <w:sz w:val="20"/>
        </w:rPr>
        <w:t xml:space="preserve"> </w:t>
      </w:r>
      <w:r>
        <w:rPr>
          <w:rFonts w:ascii="Times New Roman;Times;serif" w:hAnsi="Times New Roman;Times;serif"/>
          <w:sz w:val="20"/>
        </w:rPr>
        <w:t>assets</w:t>
      </w:r>
      <w:r>
        <w:rPr>
          <w:rFonts w:ascii="Times New Roman;Times;serif" w:hAnsi="Times New Roman;Times;serif"/>
          <w:spacing w:val="16"/>
          <w:sz w:val="20"/>
        </w:rPr>
        <w:t xml:space="preserve"> </w:t>
      </w:r>
      <w:r>
        <w:rPr>
          <w:rFonts w:ascii="Times New Roman;Times;serif" w:hAnsi="Times New Roman;Times;serif"/>
          <w:sz w:val="20"/>
        </w:rPr>
        <w:t>between</w:t>
      </w:r>
      <w:r>
        <w:rPr>
          <w:rFonts w:ascii="Times New Roman;Times;serif" w:hAnsi="Times New Roman;Times;serif"/>
          <w:spacing w:val="17"/>
          <w:sz w:val="20"/>
        </w:rPr>
        <w:t xml:space="preserve"> </w:t>
      </w:r>
      <w:r>
        <w:rPr>
          <w:rFonts w:ascii="Times New Roman;Times;serif" w:hAnsi="Times New Roman;Times;serif"/>
          <w:sz w:val="20"/>
        </w:rPr>
        <w:t>Levels</w:t>
      </w:r>
      <w:r>
        <w:rPr>
          <w:rFonts w:ascii="Times New Roman;Times;serif" w:hAnsi="Times New Roman;Times;serif"/>
          <w:spacing w:val="16"/>
          <w:sz w:val="20"/>
        </w:rPr>
        <w:t xml:space="preserve"> </w:t>
      </w:r>
      <w:r>
        <w:rPr>
          <w:rFonts w:ascii="Times New Roman;Times;serif" w:hAnsi="Times New Roman;Times;serif"/>
          <w:sz w:val="20"/>
        </w:rPr>
        <w:t>1</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16"/>
          <w:sz w:val="20"/>
        </w:rPr>
        <w:t xml:space="preserve"> </w:t>
      </w:r>
      <w:r>
        <w:rPr>
          <w:rFonts w:ascii="Times New Roman;Times;serif" w:hAnsi="Times New Roman;Times;serif"/>
          <w:sz w:val="20"/>
        </w:rPr>
        <w:t>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7"/>
        <w:gridCol w:w="346"/>
        <w:gridCol w:w="584"/>
        <w:gridCol w:w="354"/>
        <w:gridCol w:w="231"/>
        <w:gridCol w:w="587"/>
        <w:gridCol w:w="261"/>
        <w:gridCol w:w="211"/>
        <w:gridCol w:w="676"/>
        <w:gridCol w:w="109"/>
        <w:gridCol w:w="211"/>
        <w:gridCol w:w="676"/>
        <w:gridCol w:w="211"/>
        <w:gridCol w:w="580"/>
        <w:gridCol w:w="430"/>
        <w:gridCol w:w="581"/>
        <w:gridCol w:w="346"/>
        <w:gridCol w:w="676"/>
        <w:gridCol w:w="406"/>
        <w:gridCol w:w="722"/>
      </w:tblGrid>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70840" cy="175260"/>
                      <wp:effectExtent l="0" t="0" r="0" b="0"/>
                      <wp:wrapNone/>
                      <wp:docPr id="100" name="Frame10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4790" cy="175260"/>
                      <wp:effectExtent l="0" t="0" r="0" b="0"/>
                      <wp:wrapNone/>
                      <wp:docPr id="101" name="Frame10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6685" cy="175260"/>
                      <wp:effectExtent l="0" t="0" r="0" b="0"/>
                      <wp:wrapNone/>
                      <wp:docPr id="102" name="Frame10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72745" cy="175260"/>
                      <wp:effectExtent l="0" t="0" r="0" b="0"/>
                      <wp:wrapNone/>
                      <wp:docPr id="103" name="Frame103"/>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5735" cy="175260"/>
                      <wp:effectExtent l="0" t="0" r="0" b="0"/>
                      <wp:wrapNone/>
                      <wp:docPr id="104" name="Frame10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6"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8300" cy="175260"/>
                      <wp:effectExtent l="0" t="0" r="0" b="0"/>
                      <wp:wrapNone/>
                      <wp:docPr id="111" name="Frame111"/>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73050" cy="175260"/>
                      <wp:effectExtent l="0" t="0" r="0" b="0"/>
                      <wp:wrapNone/>
                      <wp:docPr id="112" name="Frame11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8935" cy="175260"/>
                      <wp:effectExtent l="0" t="0" r="0" b="0"/>
                      <wp:wrapNone/>
                      <wp:docPr id="113" name="Frame113"/>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57810" cy="175260"/>
                      <wp:effectExtent l="0" t="0" r="0" b="0"/>
                      <wp:wrapNone/>
                      <wp:docPr id="116" name="Frame11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58470" cy="175260"/>
                      <wp:effectExtent l="0" t="0" r="0" b="0"/>
                      <wp:wrapNone/>
                      <wp:docPr id="117" name="Frame11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March 31, 2026 and December 31, 2025</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7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Active</w:t>
            </w:r>
          </w:p>
        </w:tc>
        <w:tc>
          <w:tcPr>
            <w:tcW w:w="261"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center"/>
              <w:rPr/>
            </w:pPr>
            <w:r>
              <w:rPr/>
              <w:t>​</w:t>
            </w:r>
          </w:p>
        </w:tc>
        <w:tc>
          <w:tcPr>
            <w:tcW w:w="430"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for Identical</w:t>
            </w:r>
          </w:p>
        </w:tc>
        <w:tc>
          <w:tcPr>
            <w:tcW w:w="2144"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2144"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46" w:type="dxa"/>
            <w:tcBorders/>
            <w:vAlign w:val="center"/>
          </w:tcPr>
          <w:p>
            <w:pPr>
              <w:pStyle w:val="TableContents"/>
              <w:bidi w:val="0"/>
              <w:spacing w:before="0" w:after="1"/>
              <w:ind w:left="0" w:right="0" w:hanging="0"/>
              <w:jc w:val="center"/>
              <w:rPr/>
            </w:pPr>
            <w:r>
              <w:rPr/>
              <w:t> </w:t>
            </w:r>
          </w:p>
        </w:tc>
        <w:tc>
          <w:tcPr>
            <w:tcW w:w="67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left"/>
              <w:rPr/>
            </w:pPr>
            <w:r>
              <w:rPr/>
              <w:t>​</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5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214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211" w:type="dxa"/>
            <w:tcBorders/>
            <w:vAlign w:val="center"/>
          </w:tcPr>
          <w:p>
            <w:pPr>
              <w:pStyle w:val="TableContents"/>
              <w:bidi w:val="0"/>
              <w:spacing w:before="0" w:after="1"/>
              <w:ind w:left="0" w:right="0" w:hanging="0"/>
              <w:jc w:val="left"/>
              <w:rPr/>
            </w:pPr>
            <w:r>
              <w:rPr/>
              <w:t>​</w:t>
            </w:r>
          </w:p>
        </w:tc>
        <w:tc>
          <w:tcPr>
            <w:tcW w:w="159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 </w:t>
            </w:r>
          </w:p>
        </w:tc>
        <w:tc>
          <w:tcPr>
            <w:tcW w:w="18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1"/>
              <w:ind w:left="0" w:right="0" w:hanging="0"/>
              <w:jc w:val="left"/>
              <w:rPr/>
            </w:pPr>
            <w:r>
              <w:rPr/>
              <w:t>  ​ ​ ​</w:t>
            </w:r>
          </w:p>
        </w:tc>
        <w:tc>
          <w:tcPr>
            <w:tcW w:w="8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6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88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8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11" w:type="dxa"/>
            <w:tcBorders/>
            <w:vAlign w:val="center"/>
          </w:tcPr>
          <w:p>
            <w:pPr>
              <w:pStyle w:val="TableContents"/>
              <w:bidi w:val="0"/>
              <w:spacing w:before="0" w:after="1"/>
              <w:ind w:left="0" w:right="0" w:hanging="0"/>
              <w:jc w:val="center"/>
              <w:rPr/>
            </w:pPr>
            <w:r>
              <w:rPr/>
              <w:t>​</w:t>
            </w:r>
          </w:p>
        </w:tc>
        <w:tc>
          <w:tcPr>
            <w:tcW w:w="5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0" w:type="dxa"/>
            <w:tcBorders/>
            <w:vAlign w:val="center"/>
          </w:tcPr>
          <w:p>
            <w:pPr>
              <w:pStyle w:val="TableContents"/>
              <w:bidi w:val="0"/>
              <w:spacing w:before="0" w:after="1"/>
              <w:ind w:left="0" w:right="0" w:hanging="0"/>
              <w:jc w:val="left"/>
              <w:rPr/>
            </w:pPr>
            <w:r>
              <w:rPr/>
              <w:t>  ​ ​ ​</w:t>
            </w:r>
          </w:p>
        </w:tc>
        <w:tc>
          <w:tcPr>
            <w:tcW w:w="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1"/>
              <w:ind w:left="0" w:right="0" w:hanging="0"/>
              <w:jc w:val="left"/>
              <w:rPr/>
            </w:pPr>
            <w:r>
              <w:rPr/>
              <w:t>  ​ ​ ​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0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center"/>
              <w:rPr/>
            </w:pPr>
            <w:r>
              <w:rPr/>
              <w:t>  ​</w:t>
            </w:r>
          </w:p>
        </w:tc>
        <w:tc>
          <w:tcPr>
            <w:tcW w:w="354"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  ​</w:t>
            </w:r>
          </w:p>
        </w:tc>
        <w:tc>
          <w:tcPr>
            <w:tcW w:w="587"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211" w:type="dxa"/>
            <w:tcBorders/>
            <w:shd w:fill="CCEEFF" w:val="clear"/>
            <w:vAlign w:val="center"/>
          </w:tcPr>
          <w:p>
            <w:pPr>
              <w:pStyle w:val="TableContents"/>
              <w:bidi w:val="0"/>
              <w:spacing w:before="0" w:after="1"/>
              <w:ind w:left="0" w:right="0" w:hanging="0"/>
              <w:jc w:val="center"/>
              <w:rPr/>
            </w:pPr>
            <w:r>
              <w:rPr/>
              <w:t>​</w:t>
            </w:r>
          </w:p>
        </w:tc>
        <w:tc>
          <w:tcPr>
            <w:tcW w:w="580"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center"/>
              <w:rPr/>
            </w:pPr>
            <w:r>
              <w:rPr/>
              <w:t>  ​</w:t>
            </w:r>
          </w:p>
        </w:tc>
        <w:tc>
          <w:tcPr>
            <w:tcW w:w="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  ​</w:t>
            </w:r>
          </w:p>
        </w:tc>
        <w:tc>
          <w:tcPr>
            <w:tcW w:w="676"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center"/>
              <w:rPr/>
            </w:pPr>
            <w:r>
              <w:rPr/>
              <w:t>  ​</w:t>
            </w:r>
          </w:p>
        </w:tc>
        <w:tc>
          <w:tcPr>
            <w:tcW w:w="722" w:type="dxa"/>
            <w:tcBorders/>
            <w:shd w:fill="CCEEFF" w:val="clear"/>
            <w:vAlign w:val="center"/>
          </w:tcPr>
          <w:p>
            <w:pPr>
              <w:pStyle w:val="TableContents"/>
              <w:bidi w:val="0"/>
              <w:spacing w:before="0" w:after="1"/>
              <w:ind w:left="0" w:right="0" w:hanging="0"/>
              <w:jc w:val="left"/>
              <w:rPr/>
            </w:pPr>
            <w:r>
              <w:rPr/>
              <w:t>​</w:t>
            </w:r>
          </w:p>
        </w:tc>
      </w:tr>
      <w:tr>
        <w:trPr/>
        <w:tc>
          <w:tcPr>
            <w:tcW w:w="20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3,553</w:t>
            </w:r>
          </w:p>
        </w:tc>
        <w:tc>
          <w:tcPr>
            <w:tcW w:w="354"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w:t>
            </w:r>
          </w:p>
        </w:tc>
        <w:tc>
          <w:tcPr>
            <w:tcW w:w="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261"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33,716</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40,179</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36,788</w:t>
            </w:r>
          </w:p>
        </w:tc>
      </w:tr>
      <w:tr>
        <w:trPr/>
        <w:tc>
          <w:tcPr>
            <w:tcW w:w="20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Processa common shares</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r>
          </w:p>
        </w:tc>
        <w:tc>
          <w:tcPr>
            <w:tcW w:w="354"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w:t>
            </w:r>
          </w:p>
        </w:tc>
        <w:tc>
          <w:tcPr>
            <w:tcW w:w="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r>
          </w:p>
        </w:tc>
        <w:tc>
          <w:tcPr>
            <w:tcW w:w="2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(1)</w:t>
            </w:r>
          </w:p>
        </w:tc>
        <w:tc>
          <w:tcPr>
            <w:tcW w:w="99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8"/>
              </w:rPr>
              <w:t>The Company held approximately $3,553</w:t>
            </w:r>
            <w:r>
              <w:rPr>
                <w:rFonts w:ascii="Times New Roman;Times;serif" w:hAnsi="Times New Roman;Times;serif"/>
                <w:sz w:val="20"/>
              </w:rPr>
              <w:t xml:space="preserve"> </w:t>
            </w:r>
            <w:r>
              <w:rPr>
                <w:rFonts w:ascii="Times New Roman;Times;serif" w:hAnsi="Times New Roman;Times;serif"/>
                <w:sz w:val="18"/>
              </w:rPr>
              <w:t>in cash as of March 31, 2026, of which approximately $438</w:t>
            </w:r>
            <w:r>
              <w:rPr>
                <w:rFonts w:ascii="Times New Roman;Times;serif" w:hAnsi="Times New Roman;Times;serif"/>
                <w:sz w:val="20"/>
              </w:rPr>
              <w:t xml:space="preserve"> </w:t>
            </w:r>
            <w:r>
              <w:rPr>
                <w:rFonts w:ascii="Times New Roman;Times;serif" w:hAnsi="Times New Roman;Times;serif"/>
                <w:sz w:val="18"/>
              </w:rPr>
              <w:t>was held in foreign currencies (translated into U.S. dollars). As of December 31, 2025, the Company held approximately $3,072</w:t>
            </w:r>
            <w:r>
              <w:rPr>
                <w:rFonts w:ascii="Times New Roman;Times;serif" w:hAnsi="Times New Roman;Times;serif"/>
                <w:sz w:val="20"/>
              </w:rPr>
              <w:t xml:space="preserve"> </w:t>
            </w:r>
            <w:r>
              <w:rPr>
                <w:rFonts w:ascii="Times New Roman;Times;serif" w:hAnsi="Times New Roman;Times;serif"/>
                <w:sz w:val="18"/>
              </w:rPr>
              <w:t>in cash of which approximately $481</w:t>
            </w:r>
            <w:r>
              <w:rPr>
                <w:rFonts w:ascii="Times New Roman;Times;serif" w:hAnsi="Times New Roman;Times;serif"/>
                <w:sz w:val="20"/>
              </w:rPr>
              <w:t xml:space="preserve"> </w:t>
            </w:r>
            <w:r>
              <w:rPr>
                <w:rFonts w:ascii="Times New Roman;Times;serif" w:hAnsi="Times New Roman;Times;serif"/>
                <w:sz w:val="18"/>
              </w:rPr>
              <w:t>was in foreign currencies (translated into U.S. dollars).</w:t>
            </w:r>
          </w:p>
        </w:tc>
      </w:tr>
    </w:tbl>
    <w:tbl>
      <w:tblPr>
        <w:tblW w:w="6587" w:type="dxa"/>
        <w:jc w:val="left"/>
        <w:tblInd w:w="0" w:type="dxa"/>
        <w:tblLayout w:type="fixed"/>
        <w:tblCellMar>
          <w:top w:w="0" w:type="dxa"/>
          <w:left w:w="0" w:type="dxa"/>
          <w:bottom w:w="0" w:type="dxa"/>
          <w:right w:w="0" w:type="dxa"/>
        </w:tblCellMar>
      </w:tblPr>
      <w:tblGrid>
        <w:gridCol w:w="331"/>
        <w:gridCol w:w="6256"/>
      </w:tblGrid>
      <w:tr>
        <w:trPr/>
        <w:tc>
          <w:tcPr>
            <w:tcW w:w="331"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(2)</w:t>
            </w:r>
          </w:p>
        </w:tc>
        <w:tc>
          <w:tcPr>
            <w:tcW w:w="62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8"/>
              </w:rPr>
              <w:t>The Company holds 51</w:t>
            </w:r>
            <w:r>
              <w:rPr>
                <w:rFonts w:ascii="Times New Roman;Times;serif" w:hAnsi="Times New Roman;Times;serif"/>
                <w:sz w:val="20"/>
              </w:rPr>
              <w:t xml:space="preserve"> </w:t>
            </w:r>
            <w:r>
              <w:rPr>
                <w:rFonts w:ascii="Times New Roman;Times;serif" w:hAnsi="Times New Roman;Times;serif"/>
                <w:sz w:val="18"/>
              </w:rPr>
              <w:t>unrestricted common shares of Processa (NASDAQ:PCSA)</w:t>
            </w:r>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6.    Commitments and Contingencies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CIPLA Litigation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r>
        <w:rPr>
          <w:rFonts w:ascii="Times New Roman;Times;serif" w:hAnsi="Times New Roman;Times;serif"/>
          <w:sz w:val="20"/>
          <w:shd w:fill="FFFFFF" w:val="clear"/>
        </w:rPr>
        <w:t xml:space="preserve"> In addition, PEDMARK® has received orphan drug exclusivity in the United States.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ototoxicity in a patient receiving a platinum based chemotherapeutic for the treatment of a cancer, which was listed in the Orange Book on or around June 24, 2024, and has an expiration date of July 2039.</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13, 2024, the Company filed a motion for leave to file a third amended complaint to focus the ANDA litigation against CIPLA on the ’018 Patent and the ’793 Patent only. On July 30, 2024, the court granted leave to file the third amended complaint, which the Company filed on September 16, 2024. In connection with the third amended complaint, the Company entered into a covenant not to sue CIPLA on the U.S. ’363, ’728, ’984, ’530 and ’604 patents, subject to the limitation that the covenant does not apply to the extent CIPLA alters the product or formulation described in its ANDA.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2026, the Company announced that it had entered into a settlement and license agreement with Cipla Limited and Cipla USA, Inc. resolving the litigation. Under the terms of the agreement, the lawsuit will be dismissed with each party bearing its own costs, and CIPLA will not enter the U.S. market with its generic sodium thiosulfate product until September 1, 2033, or earlier under certain specified circumstances.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Severance</w:t>
      </w:r>
    </w:p>
    <w:p>
      <w:pPr>
        <w:pStyle w:val="TextBody"/>
        <w:bidi w:val="0"/>
        <w:spacing w:before="0" w:after="160"/>
        <w:ind w:left="0" w:right="0" w:hanging="0"/>
        <w:jc w:val="both"/>
        <w:rPr>
          <w:rFonts w:ascii="Times New Roman;Times;serif" w:hAnsi="Times New Roman;Times;serif"/>
          <w:sz w:val="20"/>
        </w:rPr>
      </w:pPr>
      <w:r>
        <w:rPr>
          <w:rFonts w:ascii="Times New Roman" w:hAnsi="Times New Roman"/>
          <w:sz w:val="20"/>
        </w:rPr>
        <w:t>In the event of termination of Mr. Hackman's (Chief Executive Officer) employment with the Company other than for cause, the Company will be obligated to pay him a one-time severance payment equal to twelve months</w:t>
      </w:r>
      <w:r>
        <w:rPr>
          <w:rFonts w:ascii="Times New Roman;Times;serif" w:hAnsi="Times New Roman;Times;serif"/>
          <w:sz w:val="20"/>
        </w:rPr>
        <w:t xml:space="preserve"> </w:t>
      </w:r>
      <w:r>
        <w:rPr>
          <w:rFonts w:ascii="Times New Roman" w:hAnsi="Times New Roman"/>
          <w:sz w:val="20"/>
        </w:rPr>
        <w:t>of salary (currently $615). In the event of termination of Mr. Andrade’s (Chief Financial Officer) employment with the Company other than for cause, the Company will be obligated to pay him a one-time severance payment equal to nine months</w:t>
      </w:r>
      <w:r>
        <w:rPr>
          <w:rFonts w:ascii="Times New Roman;Times;serif" w:hAnsi="Times New Roman;Times;serif"/>
          <w:sz w:val="20"/>
        </w:rPr>
        <w:t xml:space="preserve"> </w:t>
      </w:r>
      <w:r>
        <w:rPr>
          <w:rFonts w:ascii="Times New Roman" w:hAnsi="Times New Roman"/>
          <w:sz w:val="20"/>
        </w:rPr>
        <w:t>of salary which is equivalent to $361. Further, certain other Executive Employment Agreements generally provide that if employment is terminated without “Cause” (as defined in the applicable Executive Employment Agreement) and other conditions are satisfied, then such executive officer shall receive as severance an amount equal to their then current base salary for a period of nine (9) months, less standard withholdings for tax and social security purposes.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Leases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terminated on January 31, 2025, thereafter the lease may continue on a month-to-month basis with either party being able to terminate the agreement by providing one month’s advance written notice of termination. This lease was terminated.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the Company’s lease arrangements are short-term or month-to-month in nature, no operating lease liability was recorded on the condensed consolidated balance sheets as of March 31, 2026 or December 31, 2025.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 Benefit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March 31, 2026, the Company does not offer matching contributions.</w:t>
      </w:r>
    </w:p>
    <w:p>
      <w:pPr>
        <w:pStyle w:val="TextBody"/>
        <w:bidi w:val="0"/>
        <w:spacing w:before="0" w:after="240"/>
        <w:ind w:left="0" w:right="0" w:hanging="0"/>
        <w:jc w:val="both"/>
        <w:rPr>
          <w:rFonts w:ascii="Times New Roman;Times;serif" w:hAnsi="Times New Roman;Times;serif"/>
          <w:b/>
          <w:sz w:val="20"/>
        </w:rPr>
      </w:pPr>
      <w:bookmarkStart w:id="648" w:name="_Hlk164687705"/>
      <w:bookmarkEnd w:id="648"/>
      <w:r>
        <w:rPr>
          <w:rFonts w:ascii="Times New Roman;Times;serif" w:hAnsi="Times New Roman;Times;serif"/>
          <w:b/>
          <w:sz w:val="20"/>
        </w:rPr>
        <w:t>7.   License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Norgine Pharma UK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17, 2024, the Company announced that, through its wholly-owned subsidiary, Fennec Pharmaceuticals, Inc. entered into a License and Supply Agreement (the “Agreement”) with Norgine, pursuant to which Norgine is granted an exclusive license to commercialize the Company’s product PEDMARQSI® (known as PEDMARK® in the United States) for all human indications in the European Economic Area, Switzerland, the United Kingdom, Australia and New Zealand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(collectively, the “Territory”). On July 26, 2024, Norgine and Fennec amended the Agreement. The amended Agreement maintains all principal payment terms with the primary addition of Norgine assuming responsibility for packaging and labeling of 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 (iii) 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Company evaluated the Agreement under ASC 606 and concluded that Norgine is a customer in the arrangement. The Company identified two performance obligations under the Agreement: a license of functional intellectual property and a material right for future supply. A portion of the non-refundable upfront payment was allocated to the license and recognized as license revenue in 2024, and the portion associated with the material right was deferred and is reflected as contract liabilities in the condensed consolidated balance sheets.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As of March 31, 2026 and December 31, 2025, contract liabilities related to the Agreement were $24,809 and $24,809, respectively, consisting of $248 classified as current and $24,561 classified as long-term. For the three months ended March 31, 2026, the Company did not recognize any milestone or royalty revenue under the Agreement.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In conjunction with entering into the Agreement, the Company paid approximately $1,700 in incremental costs, which were capitalized and recorded within other non-current assets.  The Company amortizes the asset over the period of expected benefit using a systematic basis that reflects the pattern of transfer to Norgine. A portion that represents the license was recognized immediately and is recorded within selling and marketing expense in the consolidated statements of operations. As of March 31, 2026, $691 in incremental cost was capitalized. </w:t>
      </w:r>
    </w:p>
    <w:p>
      <w:pPr>
        <w:pStyle w:val="TextBody"/>
        <w:bidi w:val="0"/>
        <w:spacing w:before="0" w:after="240"/>
        <w:ind w:left="0" w:right="0" w:hanging="0"/>
        <w:jc w:val="both"/>
        <w:rPr>
          <w:rFonts w:ascii="Times New Roman;Times;serif" w:hAnsi="Times New Roman;Times;serif"/>
          <w:b/>
          <w:sz w:val="20"/>
        </w:rPr>
      </w:pPr>
      <w:bookmarkStart w:id="649" w:name="_db6ef6c5_9004_441f_adba_7251254d651c"/>
      <w:bookmarkEnd w:id="649"/>
      <w:r>
        <w:rPr>
          <w:rFonts w:ascii="Times New Roman;Times;serif" w:hAnsi="Times New Roman;Times;serif"/>
          <w:b/>
          <w:sz w:val="20"/>
        </w:rPr>
        <w:t>8. Segment Reporting</w:t>
      </w:r>
    </w:p>
    <w:p>
      <w:pPr>
        <w:pStyle w:val="TextBody"/>
        <w:bidi w:val="0"/>
        <w:spacing w:lineRule="auto" w:line="240" w:before="240" w:after="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(“CODM”) in deciding how to allocate resources and assess performance. The Company operates as a single operating and reportable segment focused on the commercialization of PEDMARK®/PEDMARQSI</w:t>
      </w:r>
      <w:r>
        <w:rPr>
          <w:rFonts w:ascii="Times New Roman;Times;serif" w:hAnsi="Times New Roman;Times;serif"/>
          <w:sz w:val="15"/>
        </w:rPr>
        <w:t>®</w:t>
      </w:r>
      <w:r>
        <w:rPr>
          <w:rFonts w:ascii="Times New Roman;Times;serif" w:hAnsi="Times New Roman;Times;serif"/>
          <w:sz w:val="20"/>
        </w:rPr>
        <w: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Company’s CODM is its Chief Executive Officer. The CODM reviews consolidated net income (loss) to assess performance, make operating decisions and allocate resources. This measure is reported on the condensed consolidated statements of operations.</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accounting policies of the operating segment are the same as those described in Note 2, Significant Accounting Policies. Segment assets are reported on the condensed consolidated balance sheets as total assets. The CODM also reviews significant expense categories, which are presented on the condensed consolidated statements of operations, including cost of product sales, research and development, selling and marketing, and general and administrative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evaluated subsequent events through the date of this filing and concluded there are no events of significance which require disclosure.</w:t>
      </w:r>
    </w:p>
    <w:p>
      <w:pPr>
        <w:pStyle w:val="TextBody"/>
        <w:bidi w:val="0"/>
        <w:spacing w:before="0" w:after="240"/>
        <w:ind w:left="0" w:right="0" w:hanging="0"/>
        <w:jc w:val="left"/>
        <w:rPr>
          <w:rFonts w:ascii="Times New Roman;Times;serif" w:hAnsi="Times New Roman;Times;serif"/>
          <w:b/>
          <w:sz w:val="20"/>
        </w:rPr>
      </w:pPr>
      <w:bookmarkStart w:id="650" w:name="Item2ManagementsDiscussionandAnalysisofF"/>
      <w:bookmarkStart w:id="651" w:name="_f6c44be7_6963_4414_a93e_94c0eae7fb1a"/>
      <w:bookmarkEnd w:id="650"/>
      <w:bookmarkEnd w:id="65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 Concerning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Annual Report on Form 10-K for the fiscal year ended December 31, 2025, filed with the SEC on March 27, 2026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the Company’s plans and strategy for its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following discussion should be read in conjunction with our Annual Report on Form 10-K for the year ended December</w:t>
      </w:r>
      <w:r>
        <w:rPr>
          <w:rFonts w:ascii="Times New Roman;Times;serif" w:hAnsi="Times New Roman;Times;serif"/>
          <w:b/>
          <w:sz w:val="20"/>
        </w:rPr>
        <w:t xml:space="preserve"> </w:t>
      </w:r>
      <w:r>
        <w:rPr>
          <w:rFonts w:ascii="Times New Roman;Times;serif" w:hAnsi="Times New Roman;Times;serif"/>
          <w:b w:val="false"/>
          <w:sz w:val="20"/>
        </w:rPr>
        <w:t>31, 2025, and the condensed consolidated financial statements and accompanying</w:t>
      </w:r>
      <w:r>
        <w:rPr>
          <w:rFonts w:ascii="Times New Roman;Times;serif" w:hAnsi="Times New Roman;Times;serif"/>
          <w:b/>
          <w:sz w:val="20"/>
        </w:rPr>
        <w:t xml:space="preserve"> </w:t>
      </w:r>
      <w:r>
        <w:rPr>
          <w:rFonts w:ascii="Times New Roman;Times;serif" w:hAnsi="Times New Roman;Times;serif"/>
          <w:b w:val="false"/>
          <w:sz w:val="20"/>
        </w:rPr>
        <w:t>notes included elsewhere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was originally formed under the name Adherex Technologies Inc. and subsequently changed its name on September 3, 2014. Fennec is a commercial stage specialty pharmaceutical company dedicated to preventing cisplatin-induced ototoxicity (“CIO”), a serious and often irreversible side effect of cancer treatment, with one FDA approved and European Commission approved product, PEDMARK</w:t>
      </w:r>
      <w:r>
        <w:rPr>
          <w:rFonts w:ascii="Times New Roman;Times;serif" w:hAnsi="Times New Roman;Times;serif"/>
          <w:sz w:val="15"/>
        </w:rPr>
        <w:t>®</w:t>
      </w:r>
      <w:r>
        <w:rPr>
          <w:rFonts w:ascii="Times New Roman;Times;serif" w:hAnsi="Times New Roman;Times;serif"/>
          <w:sz w:val="20"/>
        </w:rPr>
        <w:t xml:space="preserve"> in the U.S. and PEDMARQSI</w:t>
      </w:r>
      <w:r>
        <w:rPr>
          <w:rFonts w:ascii="Times New Roman;Times;serif" w:hAnsi="Times New Roman;Times;serif"/>
          <w:sz w:val="15"/>
        </w:rPr>
        <w:t>®</w:t>
      </w:r>
      <w:r>
        <w:rPr>
          <w:rFonts w:ascii="Times New Roman;Times;serif" w:hAnsi="Times New Roman;Times;serif"/>
          <w:sz w:val="20"/>
        </w:rPr>
        <w:t>, which is the branded name for PEDMARK</w:t>
      </w:r>
      <w:r>
        <w:rPr>
          <w:rFonts w:ascii="Times New Roman;Times;serif" w:hAnsi="Times New Roman;Times;serif"/>
          <w:sz w:val="15"/>
        </w:rPr>
        <w:t>®</w:t>
      </w:r>
      <w:r>
        <w:rPr>
          <w:rFonts w:ascii="Times New Roman;Times;serif" w:hAnsi="Times New Roman;Times;serif"/>
          <w:sz w:val="20"/>
        </w:rPr>
        <w:t xml:space="preserve"> outside of the U.S. (collectively, “PEDMARK”), developed to reduce the risk of ototoxicity associated with cisplatin in pediatric patients one month of age and older with localized, non-metastatic solid tumors. The Company has four wholly owned subsidiaries: Oxiquant, Inc. and Fennec Pharmaceuticals, Inc., both Delaware corporations, Cadherin Biomedical Inc., a Canadian corporation, and Fennec Pharmaceuticals (EU) Limited, an Ireland company (“Fennec Limited”). With the exception of Fennec Pharmaceuticals, Inc., all subsidiaries are inactive. On September 20, 2022, we received approval from the FDA for PEDMARK</w:t>
      </w:r>
      <w:r>
        <w:rPr>
          <w:rFonts w:ascii="Times New Roman;Times;serif" w:hAnsi="Times New Roman;Times;serif"/>
          <w:sz w:val="15"/>
        </w:rPr>
        <w:t>®</w:t>
      </w:r>
      <w:r>
        <w:rPr>
          <w:rFonts w:ascii="Times New Roman;Times;serif" w:hAnsi="Times New Roman;Times;serif"/>
          <w:sz w:val="20"/>
        </w:rPr>
        <w:t xml:space="preserve"> (sodium thiosulfate injection). This approval makes PEDMARK</w:t>
      </w:r>
      <w:r>
        <w:rPr>
          <w:rFonts w:ascii="Times New Roman;Times;serif" w:hAnsi="Times New Roman;Times;serif"/>
          <w:sz w:val="15"/>
        </w:rPr>
        <w:t>®</w:t>
      </w:r>
      <w:r>
        <w:rPr>
          <w:rFonts w:ascii="Times New Roman;Times;serif" w:hAnsi="Times New Roman;Times;serif"/>
          <w:sz w:val="20"/>
        </w:rPr>
        <w:t xml:space="preserve"> the first and only treatment approved by the FDA in this area of significant unmet medical need.  On October 17, 2022, we announced commercial availability of PEDMARK</w:t>
      </w:r>
      <w:r>
        <w:rPr>
          <w:rFonts w:ascii="Times New Roman;Times;serif" w:hAnsi="Times New Roman;Times;serif"/>
          <w:sz w:val="15"/>
        </w:rPr>
        <w:t>®</w:t>
      </w:r>
      <w:r>
        <w:rPr>
          <w:rFonts w:ascii="Times New Roman;Times;serif" w:hAnsi="Times New Roman;Times;serif"/>
          <w:sz w:val="20"/>
        </w:rPr>
        <w:t xml:space="preserve"> in the United States. Further, PEDMARQSI</w:t>
      </w:r>
      <w:r>
        <w:rPr>
          <w:rFonts w:ascii="Times New Roman;Times;serif" w:hAnsi="Times New Roman;Times;serif"/>
          <w:sz w:val="15"/>
        </w:rPr>
        <w:t>®</w:t>
      </w:r>
      <w:r>
        <w:rPr>
          <w:rFonts w:ascii="Times New Roman;Times;serif" w:hAnsi="Times New Roman;Times;serif"/>
          <w:sz w:val="20"/>
        </w:rPr>
        <w:t xml:space="preserve"> received European Commission Marketing Authorization in June 2023 and received U.K. approval in October 2023.</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currently the only FDA-approved therapy indicated to reduce the risk of ototoxicity associated with cisplatin in pediatric patients one month of age and older with localized, non-metastatic solid tumors. In clinical studies in this population, treatment with PEDMARK</w:t>
      </w:r>
      <w:r>
        <w:rPr>
          <w:rFonts w:ascii="Times New Roman;Times;serif" w:hAnsi="Times New Roman;Times;serif"/>
          <w:sz w:val="15"/>
        </w:rPr>
        <w:t>®</w:t>
      </w:r>
      <w:r>
        <w:rPr>
          <w:rFonts w:ascii="Times New Roman;Times;serif" w:hAnsi="Times New Roman;Times;serif"/>
          <w:sz w:val="20"/>
        </w:rPr>
        <w:t xml:space="preserve"> resulted in an approximate 50% relative reduction in the incidence of cisplatin-induced hearing loss compared to cisplatin alone, without evidence of materially compromised antitumor efficacy. PEDMARK</w:t>
      </w:r>
      <w:r>
        <w:rPr>
          <w:rFonts w:ascii="Times New Roman;Times;serif" w:hAnsi="Times New Roman;Times;serif"/>
          <w:sz w:val="15"/>
        </w:rPr>
        <w:t>®</w:t>
      </w:r>
      <w:r>
        <w:rPr>
          <w:rFonts w:ascii="Times New Roman;Times;serif" w:hAnsi="Times New Roman;Times;serif"/>
          <w:sz w:val="20"/>
        </w:rPr>
        <w:t xml:space="preserve"> is administered as a short intravenous infusion and has generally been associated with a mild-to-moderate and manageable safety profile consistent with its known pharmacology.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March 2024, we announced that we entered into an agreement with Norgine, a leading European specialist pharmaceutical company. This is an exclusive licensing agreement under which Norgine will commercialize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is the first and only approved therapy in the EU and U.K. for the prevention of ototoxicity (hearing loss) induced by cisplatin chemotherapy in patients one month to eighteen years of age with localized, non-metastatic solid tumors. During 2025, Norgine made PEDMARQSI</w:t>
      </w:r>
      <w:r>
        <w:rPr>
          <w:rFonts w:ascii="Times New Roman;Times;serif" w:hAnsi="Times New Roman;Times;serif"/>
          <w:i/>
          <w:sz w:val="15"/>
        </w:rPr>
        <w:t>®</w:t>
      </w:r>
      <w:r>
        <w:rPr>
          <w:rFonts w:ascii="Times New Roman;Times;serif" w:hAnsi="Times New Roman;Times;serif"/>
          <w:sz w:val="20"/>
        </w:rPr>
        <w:t xml:space="preserve"> commercially available and expects additional launches to occur in 2026 and beyond.</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Norgine licensing agreement, Fennec received approximately $43 million in upfront consideration and may receive up to approximately $230 million in additional commercial and regulatory milestone payments and double-digit tiered royalties (up to the mid-twenties) on net sales of PEDMARQSI</w:t>
      </w:r>
      <w:r>
        <w:rPr>
          <w:rFonts w:ascii="Times New Roman;Times;serif" w:hAnsi="Times New Roman;Times;serif"/>
          <w:i/>
          <w:sz w:val="15"/>
        </w:rPr>
        <w:t>®</w:t>
      </w:r>
      <w:r>
        <w:rPr>
          <w:rFonts w:ascii="Times New Roman;Times;serif" w:hAnsi="Times New Roman;Times;serif"/>
          <w:sz w:val="20"/>
        </w:rPr>
        <w:t xml:space="preserve"> in the licensed territories. To date, Fennec has not received any milestone payments. Norgine will be responsible for all commercialization activities in the licensed territories and will hold all marketing authorizations in the licensed territories.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we sell our product through an experienced field force including Territory Managers and we utilize medical science liaisons within our medical team who help educate the medical communities and patients about CIO and our programs supporting patient access to PEDMARK</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Further, we have established Fennec HEARS</w:t>
      </w:r>
      <w:r>
        <w:rPr>
          <w:rFonts w:ascii="Times New Roman;Times;serif" w:hAnsi="Times New Roman;Times;serif"/>
          <w:sz w:val="15"/>
        </w:rPr>
        <w:t>®</w:t>
      </w:r>
      <w:r>
        <w:rPr>
          <w:rFonts w:ascii="Times New Roman;Times;serif" w:hAnsi="Times New Roman;Times;serif"/>
          <w:sz w:val="20"/>
        </w:rPr>
        <w:t>, a comprehensive single source program designed to connect PEDMARK</w:t>
      </w:r>
      <w:r>
        <w:rPr>
          <w:rFonts w:ascii="Times New Roman;Times;serif" w:hAnsi="Times New Roman;Times;serif"/>
          <w:sz w:val="15"/>
        </w:rPr>
        <w:t>®</w:t>
      </w:r>
      <w:r>
        <w:rPr>
          <w:rFonts w:ascii="Times New Roman;Times;serif" w:hAnsi="Times New Roman;Times;serif"/>
          <w:sz w:val="20"/>
        </w:rPr>
        <w:t xml:space="preserve"> patients to both patient financial and product access support. The program offers assistance and resources, regardless of insurance type, that can address co-pays or lack of coverage when certain eligibility requirements are met. Fennec HEARS</w:t>
      </w:r>
      <w:r>
        <w:rPr>
          <w:rFonts w:ascii="Times New Roman;Times;serif" w:hAnsi="Times New Roman;Times;serif"/>
          <w:sz w:val="15"/>
        </w:rPr>
        <w:t>®</w:t>
      </w:r>
      <w:r>
        <w:rPr>
          <w:rFonts w:ascii="Times New Roman;Times;serif" w:hAnsi="Times New Roman;Times;serif"/>
          <w:sz w:val="20"/>
        </w:rPr>
        <w:t xml:space="preserve"> also provides access to care coordinators that can answer insurance questions about coverage for PEDMARK</w:t>
      </w:r>
      <w:r>
        <w:rPr>
          <w:rFonts w:ascii="Times New Roman;Times;serif" w:hAnsi="Times New Roman;Times;serif"/>
          <w:sz w:val="15"/>
        </w:rPr>
        <w:t>®</w:t>
      </w:r>
      <w:r>
        <w:rPr>
          <w:rFonts w:ascii="Times New Roman;Times;serif" w:hAnsi="Times New Roman;Times;serif"/>
          <w:sz w:val="20"/>
        </w:rPr>
        <w:t xml:space="preserve"> and provide tips and resources for managing treatment.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received Orphan Drug Exclusivity for PEDMARK</w:t>
      </w:r>
      <w:r>
        <w:rPr>
          <w:rFonts w:ascii="Times New Roman;Times;serif" w:hAnsi="Times New Roman;Times;serif"/>
          <w:sz w:val="15"/>
        </w:rPr>
        <w:t>®</w:t>
      </w:r>
      <w:r>
        <w:rPr>
          <w:rFonts w:ascii="Times New Roman;Times;serif" w:hAnsi="Times New Roman;Times;serif"/>
          <w:sz w:val="20"/>
        </w:rPr>
        <w:t xml:space="preserve"> in January 2023, which provides seven years of market exclusivity from its FDA approval on September 20, 2022, until September 20, 2029. We currently have six patents listed for PEDMARK</w:t>
      </w:r>
      <w:r>
        <w:rPr>
          <w:rFonts w:ascii="Times New Roman;Times;serif" w:hAnsi="Times New Roman;Times;serif"/>
          <w:sz w:val="15"/>
        </w:rPr>
        <w:t>®</w:t>
      </w:r>
      <w:r>
        <w:rPr>
          <w:rFonts w:ascii="Times New Roman;Times;serif" w:hAnsi="Times New Roman;Times;serif"/>
          <w:sz w:val="20"/>
        </w:rPr>
        <w:t xml:space="preserve"> in the FDA’s </w:t>
      </w:r>
      <w:r>
        <w:rPr>
          <w:rFonts w:ascii="Times New Roman;Times;serif" w:hAnsi="Times New Roman;Times;serif"/>
          <w:sz w:val="20"/>
          <w:shd w:fill="FFFFFF" w:val="clear"/>
        </w:rPr>
        <w:t>Approved Drug Products with Therapeutic Equivalence Evaluations</w:t>
      </w:r>
      <w:r>
        <w:rPr>
          <w:rFonts w:ascii="Times New Roman;Times;serif" w:hAnsi="Times New Roman;Times;serif"/>
          <w:sz w:val="20"/>
        </w:rPr>
        <w:t xml:space="preserve"> (“FDA Orange Book”). In September 2022, the United States Patent and Trademark Office (“USPTO”) issued Patent No. 11,291,728 (the “US ‘728 Patent”), in December 2022, the USPTO issued Patent No. 11,510,984 (“US ‘984 Patent”) and in April 2023, the USPTO issued Patent No. 11,671,793 (“US ‘793 Patent”) that covers PEDMARK</w:t>
      </w:r>
      <w:r>
        <w:rPr>
          <w:rFonts w:ascii="Times New Roman;Times;serif" w:hAnsi="Times New Roman;Times;serif"/>
          <w:sz w:val="15"/>
        </w:rPr>
        <w:t>®</w:t>
      </w:r>
      <w:r>
        <w:rPr>
          <w:rFonts w:ascii="Times New Roman;Times;serif" w:hAnsi="Times New Roman;Times;serif"/>
          <w:sz w:val="20"/>
        </w:rPr>
        <w:t xml:space="preserve"> pharmaceutical formulation. Further, additional issued patents included US 11,964,018 Patent (the “US ‘018 Patent) and US 11,992,530 Patent (the “US ‘530 Patent”) and US 11,998,604 Patent (the “US ‘604 Patent”) covering methods of using our PEDMARK</w:t>
      </w:r>
      <w:r>
        <w:rPr>
          <w:rFonts w:ascii="Times New Roman;Times;serif" w:hAnsi="Times New Roman;Times;serif"/>
          <w:sz w:val="15"/>
        </w:rPr>
        <w:t>®</w:t>
      </w:r>
      <w:r>
        <w:rPr>
          <w:rFonts w:ascii="Times New Roman;Times;serif" w:hAnsi="Times New Roman;Times;serif"/>
          <w:sz w:val="20"/>
        </w:rPr>
        <w:t xml:space="preserve"> product to reduce ototoxicity in a patient receiving a platinum based chemotherapeutic for the treatment of a cancer. The US ‘728, US ‘984, US ‘793, US ‘018, US ‘530, and US ‘604 Patents will expire in 2039. Additional patents covering PEDMARK</w:t>
      </w:r>
      <w:r>
        <w:rPr>
          <w:rFonts w:ascii="Times New Roman;Times;serif" w:hAnsi="Times New Roman;Times;serif"/>
          <w:sz w:val="15"/>
        </w:rPr>
        <w:t>®</w:t>
      </w:r>
      <w:r>
        <w:rPr>
          <w:rFonts w:ascii="Times New Roman;Times;serif" w:hAnsi="Times New Roman;Times;serif"/>
          <w:sz w:val="20"/>
        </w:rPr>
        <w:t xml:space="preserve"> formulation have been granted in Australia, Canada, the European Patent Office (EPO) (described further below), Hong Kong, Indonesia, Japan, Korea, Malaysia, Mexico, and Russia, and patent applications covering PEDMARK</w:t>
      </w:r>
      <w:r>
        <w:rPr>
          <w:rFonts w:ascii="Times New Roman;Times;serif" w:hAnsi="Times New Roman;Times;serif"/>
          <w:sz w:val="15"/>
        </w:rPr>
        <w:t>®</w:t>
      </w:r>
      <w:r>
        <w:rPr>
          <w:rFonts w:ascii="Times New Roman;Times;serif" w:hAnsi="Times New Roman;Times;serif"/>
          <w:sz w:val="20"/>
        </w:rPr>
        <w:t xml:space="preserve"> are pending in Brazil, China, the European Patent Office (EPO), Hong Kong, Israel, Korea, Mexico, New Zealand, Singapore, and Thailand.  Patents covering alternative sodium thiosulfate formulations have been granted in the United States (US 12,311,026 (the “US ‘026 Patent”), Canada, Korea, Mexico, and Russia, and patent applications covering alternative sodium thiosulfate formulations are pending in the United States, Australia, the EPO, Hong Kong, Indonesia, Japan, Malaysia, Mexico, and New Zealand. Applications from these patent families, where granted, valid, and enforceable, will expire in July 2039, exclusive of any patent term adjustment or extension.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16, 2026, we announced that we had entered into a settlement and license agreement with Cipla Limited and Cipla USA, Inc. resolving the PEDMARK® patent litigation pending in the United States District Court for the District of New Jersey. Under the terms of the agreement, the lawsuit will be dismissed with each party bearing its own costs, and Cipla will not enter the U.S. market with its generic sodium thiosulfate product until September 1, 2033, or earlier under certain specified circumstances. We believe this settlement, together with our existing patent and regulatory protections, provides additional visibility into the long-term exclusivity profile of PEDMARK® in the United States.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can be no assurance that we do not or will not infringe on patents held by third parties or that third parties in the future will not claim that we have infringed on their patents. In the event that our product or technologies infringe or violate the patent or other proprietary rights of third parties, there is a possibility we may be prevented from pursuing product development, manufacturing or commercialization of our product until the underlying patent dispute is resolved. For example, there may be patents or patent applications held by others that contain claims that our product or operations might be determined to infringe or that may be broader than we believe them to be. Given the complexities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uncertainties of patent laws, there can be no assurance as to the impact that future patent claims against us may have on our business, financial condition, results of operations, or prospects.</w:t>
      </w:r>
    </w:p>
    <w:p>
      <w:pPr>
        <w:pStyle w:val="TextBody"/>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Product Overview</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has been studied by co-operative groups in two Phase 3 clinical studies of survival and reduction of ototoxicity, COG ACCL0431 and SIOPEL 6. Both studies have been completed. The COG ACCL0431 protocol enrolled childhood cancer patients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United States, PEDMARK® is the first and only therapy approved to mitigate the risk of ototoxicity associated with cisplatin in pediatric patients aged one month and older with localized, non-metastatic solid tumors. Further, the National Comprehensive Cancer Network (NCCN) recommended the use of PEDMARK</w:t>
      </w:r>
      <w:r>
        <w:rPr>
          <w:rFonts w:ascii="Times New Roman;Times;serif" w:hAnsi="Times New Roman;Times;serif"/>
          <w:sz w:val="15"/>
        </w:rPr>
        <w:t>®</w:t>
      </w:r>
      <w:r>
        <w:rPr>
          <w:rFonts w:ascii="Times New Roman;Times;serif" w:hAnsi="Times New Roman;Times;serif"/>
          <w:sz w:val="20"/>
        </w:rPr>
        <w:t xml:space="preserve"> to reduce the risk of cisplatin-induced ototoxicity in patients with localized, non-metastatic solid tumors (category 2A) for Adolescent and Young Adult (AYA) Oncology. As of January 2025, all medical compendia have incorporated Fennec’s clinical updates, and AHFS, the largest online platform for pharmacists, has updated its content to reflect and differentiate PEDMARK</w:t>
      </w:r>
      <w:r>
        <w:rPr>
          <w:rFonts w:ascii="Times New Roman;Times;serif" w:hAnsi="Times New Roman;Times;serif"/>
          <w:sz w:val="15"/>
        </w:rPr>
        <w:t>®</w:t>
      </w:r>
      <w:r>
        <w:rPr>
          <w:rFonts w:ascii="Times New Roman;Times;serif" w:hAnsi="Times New Roman;Times;serif"/>
          <w:sz w:val="20"/>
        </w:rPr>
        <w:t xml:space="preserve"> in accordance with its labeling.</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FDA- and EMA-approved agent designed to reduce the risk of  CIO in pediatric patients with localized solid tumors. The strategic imperatives driving the execution of PEDMARK</w:t>
      </w:r>
      <w:r>
        <w:rPr>
          <w:rFonts w:ascii="Times New Roman;Times;serif" w:hAnsi="Times New Roman;Times;serif"/>
          <w:sz w:val="15"/>
        </w:rPr>
        <w:t>®</w:t>
      </w:r>
      <w:r>
        <w:rPr>
          <w:rFonts w:ascii="Times New Roman;Times;serif" w:hAnsi="Times New Roman;Times;serif"/>
          <w:sz w:val="20"/>
        </w:rPr>
        <w:t>’s strategy include increasing awareness of unmet patient needs and emphasizing the importance of preventing CIO among oncologists. A key goal is to establish PEDMARK</w:t>
      </w:r>
      <w:r>
        <w:rPr>
          <w:rFonts w:ascii="Times New Roman;Times;serif" w:hAnsi="Times New Roman;Times;serif"/>
          <w:sz w:val="15"/>
        </w:rPr>
        <w:t>®</w:t>
      </w:r>
      <w:r>
        <w:rPr>
          <w:rFonts w:ascii="Times New Roman;Times;serif" w:hAnsi="Times New Roman;Times;serif"/>
          <w:sz w:val="20"/>
        </w:rPr>
        <w:t xml:space="preserve"> as the standard of care (SOC) for all CIO prevention. Additionally, efforts focus on expanding adoption beyond oncologists by ensuring healthcare providers (HCPs) gain confidence in and have positive experiences with PEDMARK</w:t>
      </w:r>
      <w:r>
        <w:rPr>
          <w:rFonts w:ascii="Times New Roman;Times;serif" w:hAnsi="Times New Roman;Times;serif"/>
          <w:sz w:val="15"/>
        </w:rPr>
        <w:t>®</w:t>
      </w:r>
      <w:r>
        <w:rPr>
          <w:rFonts w:ascii="Times New Roman;Times;serif" w:hAnsi="Times New Roman;Times;serif"/>
          <w:sz w:val="20"/>
        </w:rPr>
        <w:t>. Ensuring seamless access for advocacy groups, payers, and providers is also a priority, along with activating patients and caregivers through disease education to drive demand for PEDMARK</w:t>
      </w:r>
      <w:r>
        <w:rPr>
          <w:rFonts w:ascii="Times New Roman;Times;serif" w:hAnsi="Times New Roman;Times;serif"/>
          <w:sz w:val="15"/>
        </w:rPr>
        <w:t>®</w:t>
      </w:r>
      <w:r>
        <w:rPr>
          <w:rFonts w:ascii="Times New Roman;Times;serif" w:hAnsi="Times New Roman;Times;serif"/>
          <w:sz w:val="20"/>
        </w:rPr>
        <w:t>. Key activities supporting these objectives include an expanded sales team with a strong track record in both academic and community settings, partnerships with group purchasing organizations, and specialty pharmacy offerings such as home infusions, white bag delivery, and direct billing. Furthermore, digital materials, a digital speaker bureau to engage pediatric oncologists, audiologists, nurses, and pharmacists, along with a patient access services hub and ongoing support from advocacy groups, are all integral components of the strategy.</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the U.S. and Europe, Fennec estimates that there are approximately 11,400 pediatric patients with localized, non-metastatic solid tumors each year, of which include approximately 2,157 cisplatin-treated pediatric patients in the U.S. and 1,250 in Europe who fall within the current PEDMARK</w:t>
      </w:r>
      <w:r>
        <w:rPr>
          <w:rFonts w:ascii="Times New Roman;Times;serif" w:hAnsi="Times New Roman;Times;serif"/>
          <w:sz w:val="15"/>
        </w:rPr>
        <w:t>®</w:t>
      </w:r>
      <w:r>
        <w:rPr>
          <w:rFonts w:ascii="Times New Roman;Times;serif" w:hAnsi="Times New Roman;Times;serif"/>
          <w:sz w:val="20"/>
        </w:rPr>
        <w:t xml:space="preserve"> market. The incidence and severity of CIO depends on the cumulative dose and duration of chemotherapy. Many affected children ultimately require hearing aids or, in more severe cases, cochlear implants, which are costly, technically complex and do not fully restore normal hearing. PEDMARK</w:t>
      </w:r>
      <w:r>
        <w:rPr>
          <w:rFonts w:ascii="Times New Roman;Times;serif" w:hAnsi="Times New Roman;Times;serif"/>
          <w:sz w:val="15"/>
        </w:rPr>
        <w:t>®</w:t>
      </w:r>
      <w:r>
        <w:rPr>
          <w:rFonts w:ascii="Times New Roman;Times;serif" w:hAnsi="Times New Roman;Times;serif"/>
          <w:sz w:val="20"/>
        </w:rPr>
        <w:t xml:space="preserve"> is the first and only therapy approved in the U.S. to reduce the risk of ototoxicity associated with cisplatin in pediatric patients one month of age and older with localized, non-metastatic solid tumors. Infants and young children who experience ototoxicity during critical developmental windows are at risk for impaired speech and language development and literacy, while older children and adolescents may face long-term challenges in academic performance, social-emotional development, career potential and independent living.​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U.S., approximately 90% of pediatric cancer patients receive care at approximately 200 key pediatric hospital centers, including institutions within the Children’s Oncology Group (COG), National Cancer Institute (NCI) and National Comprehensive Cancer Network (NCCN).​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Adolescent and Young Adult (“AYA”) oncology patient is defined as an individual between 15 and 39 years of age at the time of initial cancer diagnosis. In the U.S., Fennec estimates that there are approximately 51,282 new AYA solid tumor cases annually, of which approximately 25,536 involve cisplatin-treated patients with localized, non-metastatic solid tumors. The most common relevant tumor types include germ cell tumors, testicular cancer, thyroid cancer and breast cancer. The U.S. AYA oncology treatment landscape spans both academic and community settings, with 72 NCI-designated academic centers treating roughly 20% of AYA oncology patients, while approximately 80% are managed across approximately 3,750 community oncology centers nationwide.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CIO and Unmet Medical Need</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Cisplatin is a cornerstone of modern cancer therapy for many pediatric and AYA solid tumors, with reported overall survival rates in some cisplatin-treated cancers exceeding 80%. However, cisplatin is associated with a high incidence of ototoxicity. Published data indicates that approximately 60% to 90% of cisplatin-treated patients may develop some degree of permanent, sensorineural hearing loss, with reported rates of 40% to 80% occurring in adults and 50% to 90% in children. CIO typically begins as bilateral, high-frequency hearing loss that is progressive and irreversible, occasionally accompanied by tinnitus. In some cases, it may ultimately require the use of hearing aids or cochlear implants.</w:t>
      </w:r>
    </w:p>
    <w:p>
      <w:pPr>
        <w:pStyle w:val="TextBody"/>
        <w:bidi w:val="0"/>
        <w:spacing w:lineRule="auto" w:line="240" w:before="280" w:after="0"/>
        <w:ind w:left="0" w:right="0" w:hanging="0"/>
        <w:jc w:val="both"/>
        <w:rPr>
          <w:rFonts w:ascii="Times New Roman;Times;serif" w:hAnsi="Times New Roman;Times;serif"/>
          <w:sz w:val="20"/>
        </w:rPr>
      </w:pPr>
      <w:r>
        <w:rPr>
          <w:rFonts w:ascii="Times New Roman;Times;serif" w:hAnsi="Times New Roman;Times;serif"/>
          <w:sz w:val="20"/>
        </w:rPr>
        <w:t>Published literature has linked treatment-related hearing loss to impairments in speech and language development, reduced academic performance, challenges in social-emotional development, and enduring impacts on educational attainment, vocational opportunities, and independent living. Additionally, published research indicates that severe to profound early-onset hearing loss can impose a substantial lifetime economic burden, with per-individual costs estimated at approximately $489 and potentially exceeding $1,000 on an undiscounted basis, primarily due to lost productivity, educational expenses, and medical costs. These figures are derived from published literature regarding the disease burden of hearing loss and do not represent demonstrated health-economic outcomes specifically attributable to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 xml:space="preserve">European Commission Marketing Authorization </w:t>
      </w:r>
    </w:p>
    <w:p>
      <w:pPr>
        <w:pStyle w:val="TextBody"/>
        <w:bidi w:val="0"/>
        <w:spacing w:lineRule="auto" w:line="240" w:before="280" w:after="240"/>
        <w:ind w:left="0" w:right="0" w:hanging="0"/>
        <w:jc w:val="both"/>
        <w:rPr>
          <w:rFonts w:ascii="Times New Roman;Times;serif" w:hAnsi="Times New Roman;Times;serif"/>
          <w:sz w:val="20"/>
        </w:rPr>
      </w:pPr>
      <w:r>
        <w:rPr>
          <w:rFonts w:ascii="Times New Roman;Times;serif" w:hAnsi="Times New Roman;Times;serif"/>
          <w:sz w:val="20"/>
        </w:rPr>
        <w:t>PEDMARQSI</w:t>
      </w:r>
      <w:r>
        <w:rPr>
          <w:rFonts w:ascii="Times New Roman;Times;serif" w:hAnsi="Times New Roman;Times;serif"/>
          <w:sz w:val="15"/>
        </w:rPr>
        <w:t>®</w:t>
      </w:r>
      <w:r>
        <w:rPr>
          <w:rFonts w:ascii="Times New Roman;Times;serif" w:hAnsi="Times New Roman;Times;serif"/>
          <w:sz w:val="20"/>
        </w:rPr>
        <w:t xml:space="preserve"> (PEDMARK</w:t>
      </w:r>
      <w:r>
        <w:rPr>
          <w:rFonts w:ascii="Times New Roman;Times;serif" w:hAnsi="Times New Roman;Times;serif"/>
          <w:sz w:val="15"/>
        </w:rPr>
        <w:t>®</w:t>
      </w:r>
      <w:r>
        <w:rPr>
          <w:rFonts w:ascii="Times New Roman;Times;serif" w:hAnsi="Times New Roman;Times;serif"/>
          <w:sz w:val="20"/>
        </w:rPr>
        <w:t xml:space="preserve"> brand name in Europe) received European Commission Marketing Authorization in June 2023 and received U.K. approval in October 2023.</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As previously noted, in March 2024, we entered into an agreement with Norgine, a leading European specialist pharmaceutical company. This is an exclusive licensing agreement under which Norgine will commercialize PEDMARQSI</w:t>
      </w:r>
      <w:r>
        <w:rPr>
          <w:rFonts w:ascii="Times New Roman;Times;serif" w:hAnsi="Times New Roman;Times;serif"/>
          <w:i/>
          <w:sz w:val="15"/>
        </w:rPr>
        <w:t>®</w:t>
      </w:r>
      <w:r>
        <w:rPr>
          <w:rFonts w:ascii="Times New Roman;Times;serif" w:hAnsi="Times New Roman;Times;serif"/>
          <w:sz w:val="20"/>
        </w:rPr>
        <w:t xml:space="preserve"> in Europe, Australia and New Zealand. PEDMARQSI</w:t>
      </w:r>
      <w:r>
        <w:rPr>
          <w:rFonts w:ascii="Times New Roman;Times;serif" w:hAnsi="Times New Roman;Times;serif"/>
          <w:i/>
          <w:sz w:val="15"/>
        </w:rPr>
        <w:t xml:space="preserve">® </w:t>
      </w:r>
      <w:r>
        <w:rPr>
          <w:rFonts w:ascii="Times New Roman;Times;serif" w:hAnsi="Times New Roman;Times;serif"/>
          <w:sz w:val="20"/>
        </w:rPr>
        <w:t xml:space="preserve">is the first and only approved therapy in the EU and U.K. for the prevention of ototoxicity (hearing loss) induced by cisplatin chemotherapy in patients 1 month to &lt; 18 years of age with localized, non-metastatic solid tumors. </w:t>
      </w:r>
    </w:p>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licensing agreement, Fennec received approximately $43 million in upfront consideration and may receive up to approximately $230 million in additional commercial and regulatory milestone payments and double-digit tiered royalties on net sales of PEDMARQSI</w:t>
      </w:r>
      <w:r>
        <w:rPr>
          <w:rFonts w:ascii="Times New Roman;Times;serif" w:hAnsi="Times New Roman;Times;serif"/>
          <w:i/>
          <w:sz w:val="15"/>
        </w:rPr>
        <w:t>®</w:t>
      </w:r>
      <w:r>
        <w:rPr>
          <w:rFonts w:ascii="Times New Roman;Times;serif" w:hAnsi="Times New Roman;Times;serif"/>
          <w:sz w:val="20"/>
        </w:rPr>
        <w:t xml:space="preserve"> in the licensed territories up to the mid-twenties. To date, Fennec has not received any milestone payments.  Norgine will be responsible for all commercialization activities in the licensed territories and will hold all marketing authorizations in the licensed territories.</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Most recently, in 2025, Norgine launched PEDMARQSI</w:t>
      </w:r>
      <w:r>
        <w:rPr>
          <w:rFonts w:ascii="Times New Roman;Times;serif" w:hAnsi="Times New Roman;Times;serif"/>
          <w:i/>
          <w:sz w:val="15"/>
        </w:rPr>
        <w:t>®</w:t>
      </w:r>
      <w:r>
        <w:rPr>
          <w:rFonts w:ascii="Times New Roman;Times;serif" w:hAnsi="Times New Roman;Times;serif"/>
          <w:sz w:val="20"/>
        </w:rPr>
        <w:t xml:space="preserve"> in Germany and the U.K with plans to launch in several additional markets in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Japan: STS-J01 Investigator-Initiated Trial and Registration Plans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Japan, an independent investigator-initiated clinical trial, known as STS-J01, has been evaluating PEDMARK</w:t>
      </w:r>
      <w:r>
        <w:rPr>
          <w:rFonts w:ascii="Times New Roman;Times;serif" w:hAnsi="Times New Roman;Times;serif"/>
          <w:i/>
          <w:sz w:val="15"/>
        </w:rPr>
        <w:t>®</w:t>
      </w:r>
      <w:r>
        <w:rPr>
          <w:rFonts w:ascii="Times New Roman;Times;serif" w:hAnsi="Times New Roman;Times;serif"/>
          <w:sz w:val="20"/>
        </w:rPr>
        <w:t xml:space="preserve"> for the prevention of CIO. In December 2025, we announced positive topline results from this trial that demonstrated use of PEDMARK</w:t>
      </w:r>
      <w:r>
        <w:rPr>
          <w:rFonts w:ascii="Times New Roman;Times;serif" w:hAnsi="Times New Roman;Times;serif"/>
          <w:i/>
          <w:sz w:val="15"/>
        </w:rPr>
        <w:t>®</w:t>
      </w:r>
      <w:r>
        <w:rPr>
          <w:rFonts w:ascii="Times New Roman;Times;serif" w:hAnsi="Times New Roman;Times;serif"/>
          <w:sz w:val="20"/>
        </w:rPr>
        <w:t xml:space="preserve"> was associated with a significant reduction in the incidence of hearing loss compared to historically reported rates in patients receiving cisplatin alone, with no evidence of reduced antitumor activity and an approximate 95% clinical response rate. Based on these results, we are pursuing a regulatory registration strategy for PEDMARK</w:t>
      </w:r>
      <w:r>
        <w:rPr>
          <w:rFonts w:ascii="Times New Roman;Times;serif" w:hAnsi="Times New Roman;Times;serif"/>
          <w:i/>
          <w:sz w:val="15"/>
        </w:rPr>
        <w:t>®</w:t>
      </w:r>
      <w:r>
        <w:rPr>
          <w:rFonts w:ascii="Times New Roman;Times;serif" w:hAnsi="Times New Roman;Times;serif"/>
          <w:sz w:val="20"/>
        </w:rPr>
        <w:t xml:space="preserve"> in Japan and are evaluating partnering or licensing opportunities in that market, similar to our model with Norgine in Europe. Discussions with potential partners and regulators are ongoing.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Investigator-Initiated Studies and Lifecycle Management</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addition to our pivotal pediatric studies (SIOPEL6 and COG ACCL0431), we support a number of investigator-initiated and other clinical studies designed to further characterize the use of PEDMARK</w:t>
      </w:r>
      <w:r>
        <w:rPr>
          <w:rFonts w:ascii="Times New Roman;Times;serif" w:hAnsi="Times New Roman;Times;serif"/>
          <w:i/>
          <w:sz w:val="15"/>
        </w:rPr>
        <w:t>®</w:t>
      </w:r>
      <w:r>
        <w:rPr>
          <w:rFonts w:ascii="Times New Roman;Times;serif" w:hAnsi="Times New Roman;Times;serif"/>
          <w:sz w:val="20"/>
        </w:rPr>
        <w:t xml:space="preserve"> in additional tumor types and patient populations. For example, City of Hope, a U.S. cancer research and treatment organization, is conducting an investigator-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initiated clinical trial evaluating PEDMARK</w:t>
      </w:r>
      <w:r>
        <w:rPr>
          <w:rFonts w:ascii="Times New Roman;Times;serif" w:hAnsi="Times New Roman;Times;serif"/>
          <w:i/>
          <w:sz w:val="15"/>
        </w:rPr>
        <w:t>®</w:t>
      </w:r>
      <w:r>
        <w:rPr>
          <w:rFonts w:ascii="Times New Roman;Times;serif" w:hAnsi="Times New Roman;Times;serif"/>
          <w:sz w:val="20"/>
        </w:rPr>
        <w:t xml:space="preserve"> in adult men with stage II–III metastatic testicular germ cell tumors receiving cisplatin-based chemotherapy. We also engage in medical affairs activities and data-generation initiatives to expand the clinical evidence base for PEDMARK</w:t>
      </w:r>
      <w:r>
        <w:rPr>
          <w:rFonts w:ascii="Times New Roman;Times;serif" w:hAnsi="Times New Roman;Times;serif"/>
          <w:i/>
          <w:sz w:val="15"/>
        </w:rPr>
        <w:t>®</w:t>
      </w:r>
      <w:r>
        <w:rPr>
          <w:rFonts w:ascii="Times New Roman;Times;serif" w:hAnsi="Times New Roman;Times;serif"/>
          <w:sz w:val="20"/>
        </w:rPr>
        <w:t>, including in AYA and adult populations.  In 2026, additional investigator-sponsored studies were initiated, including a real-world study at Tampa General Hospital Cancer Institute and a Phase I/II trial at the University of Arizona Cancer Center to evaluate PEDMARK® in AYA and adult patients receiving cisplatin-based chemotherapy. These studies are exploratory in nature, and PEDMARK</w:t>
      </w:r>
      <w:r>
        <w:rPr>
          <w:rFonts w:ascii="Times New Roman;Times;serif" w:hAnsi="Times New Roman;Times;serif"/>
          <w:sz w:val="15"/>
        </w:rPr>
        <w:t>®</w:t>
      </w:r>
      <w:r>
        <w:rPr>
          <w:rFonts w:ascii="Times New Roman;Times;serif" w:hAnsi="Times New Roman;Times;serif"/>
          <w:sz w:val="20"/>
        </w:rPr>
        <w:t xml:space="preserve"> is not currently approved for use in metastatic cancers or adult populations outside of its labeled indication. Any potential label expansion will require additional clinical data and regulatory approvals.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Further, in April 2026, we announced that four abstracts evaluating PEDMARK</w:t>
      </w:r>
      <w:r>
        <w:rPr>
          <w:rFonts w:ascii="Times New Roman;Times;serif" w:hAnsi="Times New Roman;Times;serif"/>
          <w:sz w:val="15"/>
        </w:rPr>
        <w:t>®</w:t>
      </w:r>
      <w:r>
        <w:rPr>
          <w:rFonts w:ascii="Times New Roman;Times;serif" w:hAnsi="Times New Roman;Times;serif"/>
          <w:sz w:val="20"/>
        </w:rPr>
        <w:t> (sodium thiosulfate injection) were accepted as part of the 2026 American Society of Clinical Oncology (ASCO) Annual Meeting program, taking place May 29-June 2, 2026 in Chicago, IL.</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months ended March 31, 2026 versus three months ended March 31, 2025:</w:t>
      </w:r>
    </w:p>
    <w:p>
      <w:pPr>
        <w:pStyle w:val="TextBody"/>
        <w:bidi w:val="0"/>
        <w:spacing w:before="0" w:after="0"/>
        <w:ind w:left="0" w:right="0" w:hanging="0"/>
        <w:jc w:val="both"/>
        <w:rPr/>
      </w:pPr>
      <w:r>
        <w:rPr/>
        <w:t>​</w:t>
      </w:r>
    </w:p>
    <w:tbl>
      <w:tblPr>
        <w:tblW w:w="9670" w:type="dxa"/>
        <w:jc w:val="left"/>
        <w:tblInd w:w="0" w:type="dxa"/>
        <w:tblLayout w:type="fixed"/>
        <w:tblCellMar>
          <w:top w:w="0" w:type="dxa"/>
          <w:left w:w="0" w:type="dxa"/>
          <w:bottom w:w="0" w:type="dxa"/>
          <w:right w:w="0" w:type="dxa"/>
        </w:tblCellMar>
      </w:tblPr>
      <w:tblGrid>
        <w:gridCol w:w="2821"/>
        <w:gridCol w:w="346"/>
        <w:gridCol w:w="392"/>
        <w:gridCol w:w="1258"/>
        <w:gridCol w:w="346"/>
        <w:gridCol w:w="421"/>
        <w:gridCol w:w="361"/>
        <w:gridCol w:w="386"/>
        <w:gridCol w:w="1264"/>
        <w:gridCol w:w="346"/>
        <w:gridCol w:w="421"/>
        <w:gridCol w:w="361"/>
        <w:gridCol w:w="211"/>
        <w:gridCol w:w="73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791335" cy="175260"/>
                      <wp:effectExtent l="0" t="0" r="0" b="0"/>
                      <wp:wrapNone/>
                      <wp:docPr id="118" name="Frame11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48920" cy="175260"/>
                      <wp:effectExtent l="0" t="0" r="0" b="0"/>
                      <wp:wrapNone/>
                      <wp:docPr id="120" name="Frame12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98830" cy="175260"/>
                      <wp:effectExtent l="0" t="0" r="0" b="0"/>
                      <wp:wrapNone/>
                      <wp:docPr id="121" name="Frame121"/>
                      <a:graphic xmlns:a="http://schemas.openxmlformats.org/drawingml/2006/main">
                        <a:graphicData uri="http://schemas.microsoft.com/office/word/2010/wordprocessingShape">
                          <wps:wsp>
                            <wps:cNvSpPr txBox="1"/>
                            <wps:spPr>
                              <a:xfrm>
                                <a:off x="0" y="0"/>
                                <a:ext cx="798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7335" cy="175260"/>
                      <wp:effectExtent l="0" t="0" r="0" b="0"/>
                      <wp:wrapNone/>
                      <wp:docPr id="123" name="Frame12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9235" cy="175260"/>
                      <wp:effectExtent l="0" t="0" r="0" b="0"/>
                      <wp:wrapNone/>
                      <wp:docPr id="124" name="Frame1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5110" cy="175260"/>
                      <wp:effectExtent l="0" t="0" r="0" b="0"/>
                      <wp:wrapNone/>
                      <wp:docPr id="125" name="Frame12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802640" cy="175260"/>
                      <wp:effectExtent l="0" t="0" r="0" b="0"/>
                      <wp:wrapNone/>
                      <wp:docPr id="126" name="Frame126"/>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67335" cy="175260"/>
                      <wp:effectExtent l="0" t="0" r="0" b="0"/>
                      <wp:wrapNone/>
                      <wp:docPr id="128" name="Frame1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9235" cy="175260"/>
                      <wp:effectExtent l="0" t="0" r="0" b="0"/>
                      <wp:wrapNone/>
                      <wp:docPr id="129" name="Frame1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67360" cy="175260"/>
                      <wp:effectExtent l="0" t="0" r="0" b="0"/>
                      <wp:wrapNone/>
                      <wp:docPr id="131" name="Frame1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 ​ ​</w:t>
            </w:r>
          </w:p>
        </w:tc>
        <w:tc>
          <w:tcPr>
            <w:tcW w:w="361"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46" w:type="dxa"/>
            <w:tcBorders/>
            <w:vAlign w:val="center"/>
          </w:tcPr>
          <w:p>
            <w:pPr>
              <w:pStyle w:val="TableContents"/>
              <w:bidi w:val="0"/>
              <w:spacing w:before="0" w:after="0"/>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46" w:type="dxa"/>
            <w:tcBorders/>
            <w:vAlign w:val="center"/>
          </w:tcPr>
          <w:p>
            <w:pPr>
              <w:pStyle w:val="TableContents"/>
              <w:bidi w:val="0"/>
              <w:spacing w:before="0" w:after="0"/>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46"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15,108</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6,357</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shd w:fill="CCEEFF" w:val="clear"/>
            <w:vAlign w:val="center"/>
          </w:tcPr>
          <w:p>
            <w:pPr>
              <w:pStyle w:val="TableContents"/>
              <w:bidi w:val="0"/>
              <w:spacing w:before="0" w:after="0"/>
              <w:ind w:left="0" w:right="0" w:hanging="0"/>
              <w:jc w:val="left"/>
              <w:rPr/>
            </w:pPr>
            <w:r>
              <w:rPr/>
              <w:t> </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11,422</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8,195</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5,865</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15,227</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9,559</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5,668</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12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12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12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income/(loss) </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1,366</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net product sales of $15,108 in the first quarter of 2026 compared to $8,751 in 2025 as the Company increased market penetration and access for PEDMARK.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 decreased by $45 for the three-month period ended March 31, 2026, as compared to the same period in 2025. Our research and development activities for this period consisted of costs associated with investigator initiated clinical trials and the global named patient program.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Selling and marketing expenses include distribution costs, logistics, shipping and insurance, advertising, wages commissions and out-of-pocket expenses. We recorded $11,422 in selling and marketing expenses for the three-month period ended March 31, 2026, as compared to $3,227 for 2025. The increase is largely related to the higher commercial headcount and related expenses to support the </w:t>
            </w:r>
            <w:r>
              <w:rPr>
                <w:rFonts w:ascii="Times New Roman;Times;serif" w:hAnsi="Times New Roman;Times;serif"/>
                <w:b w:val="false"/>
                <w:i w:val="false"/>
                <w:caps w:val="false"/>
                <w:smallCaps w:val="false"/>
                <w:color w:val="27251E"/>
                <w:sz w:val="20"/>
              </w:rPr>
              <w:t>expansion of our sales organization to enhance coverage of the U.S. market as well as higher commercial headcount</w:t>
            </w:r>
            <w:r>
              <w:rPr>
                <w:rFonts w:ascii="Times New Roman;Times;serif" w:hAnsi="Times New Roman;Times;serif"/>
                <w:b w:val="false"/>
                <w:i w:val="false"/>
                <w:caps w:val="false"/>
                <w:smallCaps w:val="false"/>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There was a $2,679 decrease in general and administrative expenses for the three-month period ended March 31, 2026 compared to 2025.</w:t>
            </w:r>
            <w:r>
              <w:rPr>
                <w:caps w:val="false"/>
                <w:smallCaps w:val="false"/>
                <w:color w:val="27251E"/>
              </w:rPr>
              <w:t xml:space="preserve"> </w:t>
            </w:r>
            <w:r>
              <w:rPr>
                <w:rFonts w:ascii="Times New Roman;Times;serif" w:hAnsi="Times New Roman;Times;serif"/>
                <w:b w:val="false"/>
                <w:i w:val="false"/>
                <w:caps w:val="false"/>
                <w:smallCaps w:val="false"/>
                <w:sz w:val="20"/>
              </w:rPr>
              <w:t>The decrease was primarily due to </w:t>
            </w:r>
            <w:r>
              <w:rPr>
                <w:rFonts w:ascii="Times New Roman;Times;serif" w:hAnsi="Times New Roman;Times;serif"/>
                <w:b w:val="false"/>
                <w:i w:val="false"/>
                <w:caps w:val="false"/>
                <w:smallCaps w:val="false"/>
                <w:color w:val="27251E"/>
                <w:sz w:val="20"/>
              </w:rPr>
              <w:t>lower legal and professional fees as litigation activities concluded.</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decreased $13 for the three-month period ended March 31, 2026 as compared to the same period in 2025 reflecting completion of deferred financing costs related to Petrichor note.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by $585 for the three-month period ended March 31, 2026 compared to the same period in 2025. The decrease was primarily due to full repayment of the Petrichor convertible notes in the fourth quarter of 2025, which eliminated related interest and accretion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increased in the three-month period ended March 31, 2026 as compared to the same period in 2025 by $103, driven by higher average cash balances on money market investments.</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tbl>
      <w:tblPr>
        <w:tblW w:w="7295" w:type="dxa"/>
        <w:jc w:val="left"/>
        <w:tblInd w:w="0" w:type="dxa"/>
        <w:tblLayout w:type="fixed"/>
        <w:tblCellMar>
          <w:top w:w="0" w:type="dxa"/>
          <w:left w:w="0" w:type="dxa"/>
          <w:bottom w:w="0" w:type="dxa"/>
          <w:right w:w="0" w:type="dxa"/>
        </w:tblCellMar>
      </w:tblPr>
      <w:tblGrid>
        <w:gridCol w:w="3796"/>
        <w:gridCol w:w="346"/>
        <w:gridCol w:w="252"/>
        <w:gridCol w:w="1009"/>
        <w:gridCol w:w="346"/>
        <w:gridCol w:w="297"/>
        <w:gridCol w:w="1249"/>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0020" cy="175260"/>
                      <wp:effectExtent l="0" t="0" r="0" b="0"/>
                      <wp:wrapNone/>
                      <wp:docPr id="133" name="Frame13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0715" cy="175260"/>
                      <wp:effectExtent l="0" t="0" r="0" b="0"/>
                      <wp:wrapNone/>
                      <wp:docPr id="134" name="Frame134"/>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8595" cy="175260"/>
                      <wp:effectExtent l="0" t="0" r="0" b="0"/>
                      <wp:wrapNone/>
                      <wp:docPr id="136" name="Frame13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93115" cy="175260"/>
                      <wp:effectExtent l="0" t="0" r="0" b="0"/>
                      <wp:wrapNone/>
                      <wp:docPr id="137" name="Frame13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Selected Asset and Liability Data (thousands):</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57,294</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56,525</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[Current assets –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color w:val="008080"/>
              </w:rPr>
            </w:pPr>
            <w:r>
              <w:rPr>
                <w:color w:val="008080"/>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265,653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263,651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(229,221)</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(229,422)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37,675</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35,472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$3,391 net increase in cash and cash equivalents between March 31, 2026, and December 31, 2025. The increase was primarily driven by net cash provided by operating activities reflecting profitable operations and favorable working capital movements, and including the timing of working capital collections.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other current assets of $3,554 between March 31, 2026, and December 31, 2025, primarily due to a decrease in accounts receivable as the Company collected outstanding balances, partially offset by modest increases in prepaid expenses and other current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 at March 31, 2026 decreased $932 compared to December 31, 2025 mainly reflecting lower accrued liabilities as prior-year accruals were settled.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 increased by $769 between March 31, 2026, and December 31, 2025 driven by higher cash balance and reduction in current liabilities noted above.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a summary of cash flows data for the three-month periods of March 31, 2026 and 2025:</w:t>
      </w:r>
    </w:p>
    <w:p>
      <w:pPr>
        <w:pStyle w:val="TextBody"/>
        <w:bidi w:val="0"/>
        <w:spacing w:before="0" w:after="0"/>
        <w:ind w:left="0" w:right="0" w:hanging="0"/>
        <w:jc w:val="both"/>
        <w:rPr/>
      </w:pPr>
      <w:r>
        <w:rPr/>
        <w:t>​</w:t>
      </w:r>
    </w:p>
    <w:tbl>
      <w:tblPr>
        <w:tblW w:w="8286" w:type="dxa"/>
        <w:jc w:val="left"/>
        <w:tblInd w:w="0" w:type="dxa"/>
        <w:tblLayout w:type="fixed"/>
        <w:tblCellMar>
          <w:top w:w="0" w:type="dxa"/>
          <w:left w:w="0" w:type="dxa"/>
          <w:bottom w:w="0" w:type="dxa"/>
          <w:right w:w="0" w:type="dxa"/>
        </w:tblCellMar>
      </w:tblPr>
      <w:tblGrid>
        <w:gridCol w:w="4486"/>
        <w:gridCol w:w="109"/>
        <w:gridCol w:w="445"/>
        <w:gridCol w:w="1205"/>
        <w:gridCol w:w="346"/>
        <w:gridCol w:w="377"/>
        <w:gridCol w:w="1318"/>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848610" cy="175260"/>
                      <wp:effectExtent l="0" t="0" r="0" b="0"/>
                      <wp:wrapNone/>
                      <wp:docPr id="138" name="Frame138"/>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82575" cy="175260"/>
                      <wp:effectExtent l="0" t="0" r="0" b="0"/>
                      <wp:wrapNone/>
                      <wp:docPr id="140" name="Frame14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65175" cy="175260"/>
                      <wp:effectExtent l="0" t="0" r="0" b="0"/>
                      <wp:wrapNone/>
                      <wp:docPr id="141" name="Frame141"/>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39395" cy="175260"/>
                      <wp:effectExtent l="0" t="0" r="0" b="0"/>
                      <wp:wrapNone/>
                      <wp:docPr id="143" name="Frame14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36930" cy="175260"/>
                      <wp:effectExtent l="0" t="0" r="0" b="0"/>
                      <wp:wrapNone/>
                      <wp:docPr id="144" name="Frame144"/>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Selected Cash Flow Data</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and shares in thousands)</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4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109"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 </w:t>
            </w:r>
          </w:p>
        </w:tc>
        <w:tc>
          <w:tcPr>
            <w:tcW w:w="12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 </w:t>
            </w:r>
          </w:p>
        </w:tc>
        <w:tc>
          <w:tcPr>
            <w:tcW w:w="1318"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346" w:type="dxa"/>
            <w:tcBorders/>
            <w:shd w:fill="CCEEFF" w:val="cle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w:t>
            </w:r>
          </w:p>
        </w:tc>
        <w:tc>
          <w:tcPr>
            <w:tcW w:w="109" w:type="dxa"/>
            <w:tcBorders/>
            <w:vAlign w:val="center"/>
          </w:tcPr>
          <w:p>
            <w:pPr>
              <w:pStyle w:val="TableContents"/>
              <w:bidi w:val="0"/>
              <w:spacing w:before="0" w:after="0"/>
              <w:ind w:left="0" w:right="0" w:hanging="0"/>
              <w:jc w:val="left"/>
              <w:rPr/>
            </w:pPr>
            <w:r>
              <w:rPr/>
              <w:t>​</w:t>
            </w:r>
          </w:p>
        </w:tc>
        <w:tc>
          <w:tcPr>
            <w:tcW w:w="4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w:t>
            </w:r>
          </w:p>
        </w:tc>
        <w:tc>
          <w:tcPr>
            <w:tcW w:w="346" w:type="dxa"/>
            <w:tcBorders/>
            <w:vAlign w:val="center"/>
          </w:tcPr>
          <w:p>
            <w:pPr>
              <w:pStyle w:val="TableContents"/>
              <w:bidi w:val="0"/>
              <w:spacing w:before="0" w:after="0"/>
              <w:ind w:left="0" w:right="0" w:hanging="0"/>
              <w:jc w:val="left"/>
              <w:rPr/>
            </w:pPr>
            <w:r>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net cash provided by operating activities for the three-month period ended March 31, 2026 was approximately $2,379 as compared to $4,318 net cash used in operating activities during the same period in 2025. The year-over-year improvement was primarily driven by the shift from a net loss of $1,165 to net income of $201 and a favorable swing in working capital, including a significant decrease in accounts receivable in 2026 versus a build-up of receivables in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$1,012 in 2026 versus $359 in 2025, driven mainly by higher proceeds from stock option exercises.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results of our research and development activities;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Share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outstanding share data as of March 31, 2026 and December 31, 2025 was as follows (in thousands):</w:t>
      </w:r>
    </w:p>
    <w:p>
      <w:pPr>
        <w:pStyle w:val="TextBody"/>
        <w:bidi w:val="0"/>
        <w:spacing w:before="0" w:after="0"/>
        <w:ind w:left="0" w:right="0" w:hanging="0"/>
        <w:jc w:val="left"/>
        <w:rPr/>
      </w:pPr>
      <w:r>
        <w:rPr/>
        <w:t>​</w:t>
      </w:r>
    </w:p>
    <w:tbl>
      <w:tblPr>
        <w:tblW w:w="5677" w:type="dxa"/>
        <w:jc w:val="left"/>
        <w:tblInd w:w="0" w:type="dxa"/>
        <w:tblLayout w:type="fixed"/>
        <w:tblCellMar>
          <w:top w:w="0" w:type="dxa"/>
          <w:left w:w="0" w:type="dxa"/>
          <w:bottom w:w="0" w:type="dxa"/>
          <w:right w:w="0" w:type="dxa"/>
        </w:tblCellMar>
      </w:tblPr>
      <w:tblGrid>
        <w:gridCol w:w="1891"/>
        <w:gridCol w:w="346"/>
        <w:gridCol w:w="901"/>
        <w:gridCol w:w="346"/>
        <w:gridCol w:w="1141"/>
        <w:gridCol w:w="346"/>
        <w:gridCol w:w="70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00785" cy="175260"/>
                      <wp:effectExtent l="0" t="0" r="0" b="0"/>
                      <wp:wrapNone/>
                      <wp:docPr id="145" name="Frame145"/>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72135" cy="175260"/>
                      <wp:effectExtent l="0" t="0" r="0" b="0"/>
                      <wp:wrapNone/>
                      <wp:docPr id="147" name="Frame14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724535" cy="175260"/>
                      <wp:effectExtent l="0" t="0" r="0" b="0"/>
                      <wp:wrapNone/>
                      <wp:docPr id="149" name="Frame14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48310" cy="175260"/>
                      <wp:effectExtent l="0" t="0" r="0" b="0"/>
                      <wp:wrapNone/>
                      <wp:docPr id="151" name="Frame15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Outstanding Share Type</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34,541</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34,163</w:t>
            </w:r>
          </w:p>
        </w:tc>
        <w:tc>
          <w:tcPr>
            <w:tcW w:w="346" w:type="dxa"/>
            <w:tcBorders/>
            <w:shd w:fill="CCEEFF" w:val="clear"/>
            <w:vAlign w:val="center"/>
          </w:tcPr>
          <w:p>
            <w:pPr>
              <w:pStyle w:val="TableContents"/>
              <w:bidi w:val="0"/>
              <w:spacing w:before="0" w:after="0"/>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 and PSU Awards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5,853</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40,828</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invest excess cash and cash equivalents in high credit quality investments held by financial institutions in accordance with our investment policy designed to protect the principal investment. As of March 31, 2026, we had approximately $3,553 in our cash accounts and $36,626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not had any material off-balance sheet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None, other than the lease agreements, and severance amounts described in notes to our condensed consolidated financial statements contained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our condensed consolidated financial statements in conformity with U.S. GAAP requires management to make estimates and assumptions that affect the reported amounts of assets, liabilities, revenues and expenses, as well as related disclosures of contingent assets and liabilities. Actual results could differ from those estimates and such differences may be material to the financial statements in future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policies and estimates from those described in our Annual Report on Form 10-K for the year ended December 31, 2025, which include, among others, revenue recognition (including variable consideration and contract liabilities), valuation of accounts receivable and related allowances, inventory valuation, stock-based compensation, and income taxes. A detailed description of these policies is included in Note 2, “Significant Accounting Policies,” to our audited consolidated financial statements in that Form 10-K and in Note 2 to the condensed consolidated financial statements included in this Quarterly Report on Form 10-Q.</w:t>
      </w:r>
    </w:p>
    <w:p>
      <w:pPr>
        <w:pStyle w:val="TextBody"/>
        <w:bidi w:val="0"/>
        <w:spacing w:before="0" w:after="240"/>
        <w:ind w:left="0" w:right="0" w:hanging="0"/>
        <w:jc w:val="left"/>
        <w:rPr>
          <w:rFonts w:ascii="Times New Roman;Times;serif" w:hAnsi="Times New Roman;Times;serif"/>
          <w:b/>
          <w:sz w:val="20"/>
        </w:rPr>
      </w:pPr>
      <w:bookmarkStart w:id="652" w:name="Item3QuantitativeandQualitativeDisclosur"/>
      <w:bookmarkStart w:id="653" w:name="_347a109f_3d05_4b16_b45e_976608d4ff40"/>
      <w:bookmarkEnd w:id="652"/>
      <w:bookmarkEnd w:id="65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54" w:name="Item4ControlsandProcedures_400398"/>
      <w:bookmarkStart w:id="655" w:name="Item4ControlsandProcedures"/>
      <w:bookmarkStart w:id="656" w:name="_d61be377_1a6b_4e50_8319_be0cc500198e"/>
      <w:bookmarkEnd w:id="654"/>
      <w:bookmarkEnd w:id="655"/>
      <w:bookmarkEnd w:id="656"/>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our Chief Executive Officer and Chief Financial Officer, has conducted an evaluation of the effectiveness of the Company’s disclosure controls and procedures (as defined in Rule 13a-15(e) and 15d-15(e) under the Securities Exchange Act of 1934, as amended (the "Exchange Act") as of March 31, 2026.  The Company’s disclosure controls and procedures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for timely decisions regarding required disclosures. In designing and evaluating our disclosure controls and procedures, the Company’s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the Company’s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this evaluation, the Company's Chief Executive Officer and Chief Financial Officer have concluded that, as of March 31, 2026, the Company's disclosure controls and procedures were effective.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the Company's internal control over financial reporting during the three months ended March 31, 2026 that materially affected, or are reasonably likely to materially affect, the Company's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Inherent Limitation on the Effectiveness of Internal Controls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657" w:name="Part_II"/>
      <w:bookmarkStart w:id="658" w:name="_2ec144af_5a45_4d1a_907c_039fbf842fa4"/>
      <w:bookmarkEnd w:id="657"/>
      <w:bookmarkEnd w:id="658"/>
      <w:r>
        <w:rPr>
          <w:rFonts w:ascii="Times New Roman;Times;serif" w:hAnsi="Times New Roman;Times;serif"/>
          <w:b/>
          <w:sz w:val="20"/>
        </w:rPr>
        <w:t xml:space="preserve">PART II: OTHER INFORMATION </w:t>
      </w:r>
    </w:p>
    <w:p>
      <w:pPr>
        <w:pStyle w:val="TextBody"/>
        <w:bidi w:val="0"/>
        <w:spacing w:before="0" w:after="240"/>
        <w:ind w:left="0" w:right="0" w:hanging="0"/>
        <w:jc w:val="both"/>
        <w:rPr/>
      </w:pPr>
      <w:r>
        <w:rPr/>
        <w:t>​</w:t>
      </w:r>
    </w:p>
    <w:p>
      <w:pPr>
        <w:pStyle w:val="TextBody"/>
        <w:pBdr/>
        <w:bidi w:val="0"/>
        <w:spacing w:before="0" w:after="0"/>
        <w:ind w:left="0" w:right="0" w:hanging="0"/>
        <w:jc w:val="both"/>
        <w:rPr>
          <w:rFonts w:ascii="Times New Roman;Times;serif" w:hAnsi="Times New Roman;Times;serif"/>
          <w:b/>
          <w:sz w:val="20"/>
        </w:rPr>
      </w:pPr>
      <w:bookmarkStart w:id="659" w:name="Item1LegalProceedings"/>
      <w:bookmarkStart w:id="660" w:name="Item3"/>
      <w:bookmarkEnd w:id="659"/>
      <w:bookmarkEnd w:id="660"/>
      <w:r>
        <w:rPr>
          <w:rFonts w:ascii="Times New Roman;Times;serif" w:hAnsi="Times New Roman;Times;serif"/>
          <w:b/>
          <w:sz w:val="20"/>
        </w:rPr>
        <w:t>Item 1. Legal Proceedings</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CIPLA Litigation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December 1, 2022, we received a letter dated November 30, 2022, notifying us that CIPLA Ltd. and CIPLA USA (“CIPLA”) submitted to the FDA an ANDA (ANDA No. 218028) for a generic version of PEDMARK</w:t>
      </w:r>
      <w:r>
        <w:rPr>
          <w:rFonts w:ascii="Times New Roman;Times;serif" w:hAnsi="Times New Roman;Times;serif"/>
          <w:sz w:val="15"/>
        </w:rPr>
        <w:t>®</w:t>
      </w:r>
      <w:r>
        <w:rPr>
          <w:rFonts w:ascii="Times New Roman;Times;serif" w:hAnsi="Times New Roman;Times;serif"/>
          <w:sz w:val="20"/>
        </w:rPr>
        <w:t xml:space="preserve"> (sodium thiosulfate solution) that contained Paragraph IV Certifications on two of our patents covering PEDMARK</w:t>
      </w:r>
      <w:r>
        <w:rPr>
          <w:rFonts w:ascii="Times New Roman;Times;serif" w:hAnsi="Times New Roman;Times;serif"/>
          <w:sz w:val="15"/>
        </w:rPr>
        <w:t>®</w:t>
      </w:r>
      <w:r>
        <w:rPr>
          <w:rFonts w:ascii="Times New Roman;Times;serif" w:hAnsi="Times New Roman;Times;serif"/>
          <w:sz w:val="20"/>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Times New Roman;Times;serif" w:hAnsi="Times New Roman;Times;serif"/>
          <w:sz w:val="15"/>
        </w:rPr>
        <w:t>®</w:t>
      </w:r>
      <w:r>
        <w:rPr>
          <w:rFonts w:ascii="Times New Roman;Times;serif" w:hAnsi="Times New Roman;Times;serif"/>
          <w:sz w:val="20"/>
        </w:rPr>
        <w:t>. The certifications allege these patents are invalid or will not be infringed by the manufacture, use, or sale of CIPLA’s sodium thiosulfate solution</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Food, Drug, and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 In addition to the 30-month stay, because we have received Orphan Drug Exclusivity, the FDA may not approve CIPLA’s ANDA for at least 7 years from PEDMARK’s FDA approval date of September 20, 2022, which is September 20, 2029.</w:t>
      </w:r>
      <w:r>
        <w:rPr>
          <w:rFonts w:ascii="Times New Roman;Times;serif" w:hAnsi="Times New Roman;Times;serif"/>
          <w:sz w:val="20"/>
          <w:shd w:fill="FFFFFF" w:val="clear"/>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10, 2023, we filed suit against the CIPLA entities in the United States District Court for the District of New Jersey (Case No. 2:23-cv-00123), for infringement of the US ‘190 Patent, the US ‘728 Patent, and the US ‘984 Patent.  On April 20, 2023, we filed an Amended Complaint to assert infringement of the US ‘728 Patent and the US ‘984 Patent. On April 4, 2023, we were granted US 11,617,793 Patent (the “US ‘793 Patent”) covering the formulation of the PEDMARK product, which was listed in the Orange Book on or around April 17, 2023, and has an expiration date of July 2039.  On May 11, 2023, we received written notice of CIPLA’s Paragraph IV Certification as to the US ‘793 Patent, which was dated May 10, 2023, along with an enclosed statement of alleged factual and legal bases for stating that the US ‘793 Patent is invalid, unenforceable, and/or will not be infringed by CIPLA’s ANDA Product. On July 27, 2023, we filed a Second Amended Complaint to assert the US ‘793 Patent. CIPLA filed an Answer to the Second Amended Complaint on August 31, 2023.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23, 2024, we were granted US 11,964,018 Patent (the “US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“US ‘530 Patent”) covering a method of using our PEDMARK product to reduce ototoxicity in a patient receiving a platinum based chemotherapeutic for the treatment of a cancer, which was listed in the Orange Book on or around June 20, 2024, and has an expiration date of July 2039.  On June 4, 2024, we were granted US 11,998,604 Patent (the “US ‘604 Patent”) covering a method of using our PEDMARK product to reduce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ototoxicity in a patient receiving a platinum based chemotherapeutic for the treatment of a cancer, which was listed in the Orange Book on or around June 24, 2024, and has an expiration date of July 2039.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2024, we filed a Motion for Leave to File a Third Amended Complaint to focus the ANDA litigation against CIPLA on the US ‘018 Patent and the US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which we filed on September 16,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coordination with the Third Amended Complaint, we entered into a covenant not to sue CIPLA on the US ‘363 Patent, US ‘728 Patent, US ‘984 Patent, US ‘530 Patent, and US ‘604 Patent, subject to the limitation that such shall not apply to the extent CIPLA alters the product or formulation described in its FDA ANDA application.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16, 2026, the Company announced that it had entered into a settlement and license agreement with Cipla Limited and Cipla USA, Inc. resolving the litigation. Under the terms of the agreement, the lawsuit will be dismissed with each party bearing its own costs, and CIPLA will not enter the U.S. market with its generic sodium thiosulfate product until September 1, 2033, or earlier under certain specified circumstances.</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the foregoing, we are not currently a party to any legal proceedings that, in the opinion of management, would have a material adverse effect on our business, financial condition or results of operations.</w:t>
      </w:r>
    </w:p>
    <w:p>
      <w:pPr>
        <w:pStyle w:val="TextBody"/>
        <w:bidi w:val="0"/>
        <w:spacing w:before="0" w:after="240"/>
        <w:ind w:left="0" w:right="0" w:hanging="0"/>
        <w:jc w:val="left"/>
        <w:rPr>
          <w:rFonts w:ascii="Times New Roman;Times;serif" w:hAnsi="Times New Roman;Times;serif"/>
          <w:b/>
          <w:sz w:val="20"/>
        </w:rPr>
      </w:pPr>
      <w:bookmarkStart w:id="661" w:name="Item1ARiskFactors_207910"/>
      <w:bookmarkStart w:id="662" w:name="_7598fdfc_3bd2_4806_9962_54d30ba5e381"/>
      <w:bookmarkEnd w:id="661"/>
      <w:bookmarkEnd w:id="662"/>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 on Form 10-K for the fiscal year ended December 31, 2025, filed with the SEC on March 27, 2026 (the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pStyle w:val="TextBody"/>
        <w:bidi w:val="0"/>
        <w:spacing w:before="0" w:after="240"/>
        <w:ind w:left="0" w:right="0" w:hanging="0"/>
        <w:jc w:val="left"/>
        <w:rPr>
          <w:rFonts w:ascii="Times New Roman;Times;serif" w:hAnsi="Times New Roman;Times;serif"/>
          <w:b/>
          <w:sz w:val="20"/>
        </w:rPr>
      </w:pPr>
      <w:bookmarkStart w:id="663" w:name="Item2UnregisteredSalesofEquitySecurities"/>
      <w:bookmarkStart w:id="664" w:name="_e2d197e9_ee31_4bec_8b9c_926cffb11564"/>
      <w:bookmarkEnd w:id="663"/>
      <w:bookmarkEnd w:id="66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65" w:name="Item3DefaultsUponSeniorSecurities_709855"/>
      <w:bookmarkStart w:id="666" w:name="_2655b4fe_9766_48ac_b9d7_2e540d60c0c8"/>
      <w:bookmarkEnd w:id="665"/>
      <w:bookmarkEnd w:id="666"/>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67" w:name="Item4MineSafetyDisclosures_768258"/>
      <w:bookmarkStart w:id="668" w:name="_adc13099_58fe_410d_b711_ffe8950d2733"/>
      <w:bookmarkEnd w:id="667"/>
      <w:bookmarkEnd w:id="668"/>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69" w:name="Item5OtherInformation_249802"/>
      <w:bookmarkStart w:id="670" w:name="_45cb7b46_8334_47ae_a5d6_2887985db124"/>
      <w:bookmarkEnd w:id="669"/>
      <w:bookmarkEnd w:id="670"/>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val="false"/>
          <w:i/>
          <w:color w:val="0D0D0D"/>
          <w:sz w:val="20"/>
        </w:rPr>
      </w:pPr>
      <w:r>
        <w:rPr>
          <w:rFonts w:ascii="Times New Roman;Times;serif" w:hAnsi="Times New Roman;Times;serif"/>
          <w:b w:val="false"/>
          <w:i/>
          <w:color w:val="0D0D0D"/>
          <w:sz w:val="20"/>
        </w:rPr>
        <w:t>Insider Trading Arrangements and Policies</w:t>
      </w:r>
    </w:p>
    <w:p>
      <w:pPr>
        <w:pStyle w:val="TextBody"/>
        <w:bidi w:val="0"/>
        <w:spacing w:before="0" w:after="0"/>
        <w:ind w:left="0" w:right="0" w:hanging="0"/>
        <w:jc w:val="left"/>
        <w:rPr>
          <w:rFonts w:ascii="Times New Roman;Times;serif" w:hAnsi="Times New Roman;Times;serif"/>
          <w:color w:val="0D0D0D"/>
          <w:sz w:val="20"/>
        </w:rPr>
      </w:pPr>
      <w:r>
        <w:rPr>
          <w:rFonts w:ascii="Times New Roman;Times;serif" w:hAnsi="Times New Roman;Times;serif"/>
          <w:color w:val="0D0D0D"/>
          <w:sz w:val="20"/>
        </w:rPr>
        <w:t>During the quarter ended March 31, 2026, no director or officer of the Company adopted or terminated a “Rule 10b5-1 trading arrangement” or “non-Rule 10b5-1 trading arrangement, as each term is defined in Item 408(a) of Regulations S-K.</w:t>
      </w:r>
    </w:p>
    <w:p>
      <w:pPr>
        <w:pStyle w:val="TextBody"/>
        <w:bidi w:val="0"/>
        <w:spacing w:before="0" w:after="0"/>
        <w:ind w:left="0" w:right="0" w:hanging="0"/>
        <w:jc w:val="left"/>
        <w:rPr>
          <w:color w:val="0D0D0D"/>
        </w:rPr>
      </w:pPr>
      <w:r>
        <w:rPr>
          <w:color w:val="0D0D0D"/>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Press Release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14, 2026, we issued a press release announcing our financial results for the quarter ended March 31, 2026. A copy of the news release is attached to this Quarterly Report as Exhibit 99.1. The press release is being furnished and shall not be deemed to be filed for the purposes of Section 18 of the Securities Exchange Act of 1934 (the “Exchange Act”),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incorporated by reference into any filing under the Securities Act of 1933 or the Exchange Act, unless such subsequent filing specifically references the press release.</w:t>
      </w:r>
    </w:p>
    <w:p>
      <w:pPr>
        <w:pStyle w:val="TextBody"/>
        <w:bidi w:val="0"/>
        <w:spacing w:before="0" w:after="0"/>
        <w:ind w:left="0" w:right="0" w:hanging="0"/>
        <w:jc w:val="left"/>
        <w:rPr>
          <w:rFonts w:ascii="Times New Roman;Times;serif" w:hAnsi="Times New Roman;Times;serif"/>
          <w:b/>
          <w:sz w:val="20"/>
        </w:rPr>
      </w:pPr>
      <w:bookmarkStart w:id="671" w:name="Item6Exhibits_988289"/>
      <w:bookmarkStart w:id="672" w:name="_8421daaa_c646_4736_ab04_fb6d5d2c32f9"/>
      <w:bookmarkEnd w:id="671"/>
      <w:bookmarkEnd w:id="672"/>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9"/>
        <w:gridCol w:w="346"/>
        <w:gridCol w:w="9040"/>
      </w:tblGrid>
      <w:tr>
        <w:trPr/>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20065" cy="29210"/>
                      <wp:effectExtent l="0" t="0" r="0" b="0"/>
                      <wp:wrapNone/>
                      <wp:docPr id="152" name="Frame152"/>
                      <a:graphic xmlns:a="http://schemas.openxmlformats.org/drawingml/2006/main">
                        <a:graphicData uri="http://schemas.microsoft.com/office/word/2010/wordprocessingShape">
                          <wps:wsp>
                            <wps:cNvSpPr txBox="1"/>
                            <wps:spPr>
                              <a:xfrm>
                                <a:off x="0" y="0"/>
                                <a:ext cx="520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29210"/>
                      <wp:effectExtent l="0" t="0" r="0" b="0"/>
                      <wp:wrapNone/>
                      <wp:docPr id="153" name="Frame15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740400" cy="29210"/>
                      <wp:effectExtent l="0" t="0" r="0" b="0"/>
                      <wp:wrapNone/>
                      <wp:docPr id="154" name="Frame154"/>
                      <a:graphic xmlns:a="http://schemas.openxmlformats.org/drawingml/2006/main">
                        <a:graphicData uri="http://schemas.microsoft.com/office/word/2010/wordprocessingShape">
                          <wps:wsp>
                            <wps:cNvSpPr txBox="1"/>
                            <wps:spPr>
                              <a:xfrm>
                                <a:off x="0" y="0"/>
                                <a:ext cx="57404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both"/>
              <w:rPr/>
            </w:pPr>
            <w:r>
              <w:rPr/>
              <w:t>  ​ ​ ​</w:t>
            </w:r>
          </w:p>
        </w:tc>
        <w:tc>
          <w:tcPr>
            <w:tcW w:w="90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Fennec Pharmaceuticals Inc. 2026 Equity Inducement Plan (incorporated herein by reference to Schedule B to the Management Proxy Circular of the Company filed April 28, 2026).</w:t>
              </w:r>
            </w:hyperlink>
          </w:p>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hyperlink w:anchor="fencf-20260331xex31d1.htm">
              <w:r>
                <w:rPr>
                  <w:rStyle w:val="InternetLink"/>
                  <w:rFonts w:ascii="Times New Roman;Times;serif" w:hAnsi="Times New Roman;Times;serif"/>
                  <w:b w:val="false"/>
                  <w:i w:val="false"/>
                  <w:caps w:val="false"/>
                  <w:smallCaps w:val="false"/>
                  <w:sz w:val="20"/>
                </w:rPr>
                <w:t>Certification of Chief Executive Officer of the Company in accordance with Section 302 of the Sarbanes-Oxley Act of 2002 (filed herewith).</w:t>
              </w:r>
            </w:hyperlink>
          </w:p>
        </w:tc>
      </w:tr>
      <w:tr>
        <w:trPr/>
        <w:tc>
          <w:tcPr>
            <w:tcW w:w="81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hyperlink w:anchor="fencf-20260331xex31d2.htm">
              <w:r>
                <w:rPr>
                  <w:rStyle w:val="InternetLink"/>
                  <w:rFonts w:ascii="Times New Roman;Times;serif" w:hAnsi="Times New Roman;Times;serif"/>
                  <w:b w:val="false"/>
                  <w:i w:val="false"/>
                  <w:caps w:val="false"/>
                  <w:smallCaps w:val="false"/>
                  <w:sz w:val="20"/>
                </w:rPr>
                <w:t>Certification of Chief Financial Officer of the Company in accordance with Section 302 of the Sarbanes-Oxley Act of 2002 (filed herewith).</w:t>
              </w:r>
            </w:hyperlink>
          </w:p>
        </w:tc>
      </w:tr>
      <w:tr>
        <w:trPr/>
        <w:tc>
          <w:tcPr>
            <w:tcW w:w="81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hyperlink w:anchor="fencf-20260331xex32d1.htm">
              <w:r>
                <w:rPr>
                  <w:rStyle w:val="InternetLink"/>
                  <w:rFonts w:ascii="Times New Roman;Times;serif" w:hAnsi="Times New Roman;Times;serif"/>
                  <w:b w:val="false"/>
                  <w:i w:val="false"/>
                  <w:caps w:val="false"/>
                  <w:smallCaps w:val="false"/>
                  <w:sz w:val="20"/>
                </w:rPr>
                <w:t>Certification of Chief Executive Officer and Chief Financial Officer of the Company in accordance with Section 906 of the Sarbanes-Oxley Act of 2002 (filed herewith).</w:t>
              </w:r>
            </w:hyperlink>
          </w:p>
        </w:tc>
      </w:tr>
      <w:tr>
        <w:trPr/>
        <w:tc>
          <w:tcPr>
            <w:tcW w:w="81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hyperlink w:anchor="fencf-20260331xex99d1.htm">
              <w:r>
                <w:rPr>
                  <w:rStyle w:val="InternetLink"/>
                  <w:rFonts w:ascii="Times New Roman;Times;serif" w:hAnsi="Times New Roman;Times;serif"/>
                  <w:b w:val="false"/>
                  <w:i w:val="false"/>
                  <w:caps w:val="false"/>
                  <w:smallCaps w:val="false"/>
                  <w:sz w:val="20"/>
                </w:rPr>
                <w:t>Press Release for Quarter Ended March 31, 2026 (filed herewith).</w:t>
              </w:r>
            </w:hyperlink>
          </w:p>
        </w:tc>
      </w:tr>
      <w:tr>
        <w:trPr/>
        <w:tc>
          <w:tcPr>
            <w:tcW w:w="81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 </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pPr>
            <w:r>
              <w:rPr/>
              <w:t>​</w:t>
            </w:r>
          </w:p>
        </w:tc>
      </w:tr>
      <w:tr>
        <w:trPr/>
        <w:tc>
          <w:tcPr>
            <w:tcW w:w="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both"/>
              <w:rPr/>
            </w:pPr>
            <w:r>
              <w:rPr/>
              <w:t>​</w:t>
            </w:r>
          </w:p>
        </w:tc>
        <w:tc>
          <w:tcPr>
            <w:tcW w:w="9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contained in Exhibits 101)</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a management contract or compensatory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3" w:name="SIGNATURES_157945"/>
      <w:bookmarkStart w:id="674" w:name="_92e0dbcf_36d4_4813_b81d_c7d2a282873f"/>
      <w:bookmarkEnd w:id="673"/>
      <w:bookmarkEnd w:id="674"/>
      <w:r>
        <w:rPr>
          <w:rFonts w:ascii="Times New Roman;Times;serif" w:hAnsi="Times New Roman;Times;serif"/>
          <w:b/>
          <w:sz w:val="20"/>
        </w:rPr>
        <w:t>SIGNATURES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243" w:type="dxa"/>
        <w:jc w:val="left"/>
        <w:tblInd w:w="0" w:type="dxa"/>
        <w:tblLayout w:type="fixed"/>
        <w:tblCellMar>
          <w:top w:w="0" w:type="dxa"/>
          <w:left w:w="0" w:type="dxa"/>
          <w:bottom w:w="0" w:type="dxa"/>
          <w:right w:w="0" w:type="dxa"/>
        </w:tblCellMar>
      </w:tblPr>
      <w:tblGrid>
        <w:gridCol w:w="1741"/>
        <w:gridCol w:w="406"/>
        <w:gridCol w:w="409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05535" cy="29210"/>
                      <wp:effectExtent l="0" t="0" r="0" b="0"/>
                      <wp:wrapNone/>
                      <wp:docPr id="155" name="Frame155"/>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7810" cy="29210"/>
                      <wp:effectExtent l="0" t="0" r="0" b="0"/>
                      <wp:wrapNone/>
                      <wp:docPr id="156" name="Frame156"/>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00960" cy="29210"/>
                      <wp:effectExtent l="0" t="0" r="0" b="0"/>
                      <wp:wrapNone/>
                      <wp:docPr id="157" name="Frame157"/>
                      <a:graphic xmlns:a="http://schemas.openxmlformats.org/drawingml/2006/main">
                        <a:graphicData uri="http://schemas.microsoft.com/office/word/2010/wordprocessingShape">
                          <wps:wsp>
                            <wps:cNvSpPr txBox="1"/>
                            <wps:spPr>
                              <a:xfrm>
                                <a:off x="0" y="0"/>
                                <a:ext cx="2600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Jeffrey Hackman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Robert Andrade</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right"/>
        <w:rPr>
          <w:rFonts w:ascii="Times New Roman;Times;serif" w:hAnsi="Times New Roman;Times;serif"/>
          <w:b/>
          <w:sz w:val="20"/>
        </w:rPr>
      </w:pPr>
      <w:bookmarkStart w:id="675" w:name="fencf-20260331xex31d1.htm"/>
      <w:bookmarkStart w:id="676" w:name="ksfencf20260331xex31d1"/>
      <w:bookmarkEnd w:id="675"/>
      <w:bookmarkEnd w:id="67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Jeffrey Hackman, certify that: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
        <w:gridCol w:w="224"/>
        <w:gridCol w:w="23"/>
        <w:gridCol w:w="288"/>
        <w:gridCol w:w="9509"/>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82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82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2026 of Fennec Pharmaceuticals Inc.;</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063" w:type="dxa"/>
        <w:jc w:val="left"/>
        <w:tblInd w:w="0" w:type="dxa"/>
        <w:tblLayout w:type="fixed"/>
        <w:tblCellMar>
          <w:top w:w="0" w:type="dxa"/>
          <w:left w:w="0" w:type="dxa"/>
          <w:bottom w:w="0" w:type="dxa"/>
          <w:right w:w="0" w:type="dxa"/>
        </w:tblCellMar>
      </w:tblPr>
      <w:tblGrid>
        <w:gridCol w:w="586"/>
        <w:gridCol w:w="406"/>
        <w:gridCol w:w="2071"/>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effrey</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5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677" w:name="fencf-20260331xex31d2.htm"/>
      <w:bookmarkStart w:id="678" w:name="ksfencf20260331xex31d2"/>
      <w:bookmarkEnd w:id="677"/>
      <w:bookmarkEnd w:id="678"/>
      <w:r>
        <w:rPr>
          <w:rFonts w:ascii="Times New Roman;Times;serif" w:hAnsi="Times New Roman;Times;serif"/>
          <w:b/>
          <w:sz w:val="20"/>
        </w:rPr>
        <w:t>Exhibit 31.2</w:t>
      </w:r>
      <w:r>
        <w:br w:type="page"/>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Robert Andrade, certify that:</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224"/>
        <w:gridCol w:w="23"/>
        <w:gridCol w:w="288"/>
        <w:gridCol w:w="9444"/>
      </w:tblGrid>
      <w:tr>
        <w:trPr/>
        <w:tc>
          <w:tcPr>
            <w:tcW w:w="22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w:t>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75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March 31, 2026 of Fennec Pharmaceuticals Inc.;</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lineRule="auto" w:line="285" w:before="100" w:after="100"/>
        <w:ind w:left="0" w:right="0" w:hanging="0"/>
        <w:jc w:val="left"/>
        <w:rPr/>
      </w:pPr>
      <w:r>
        <w:rPr/>
        <w:t>​</w:t>
      </w:r>
    </w:p>
    <w:tbl>
      <w:tblPr>
        <w:tblW w:w="2578" w:type="dxa"/>
        <w:jc w:val="left"/>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bookmarkStart w:id="679" w:name="fencf-20260331xex32d1.htm"/>
      <w:bookmarkStart w:id="680" w:name="ksfencf20260331xex32d1"/>
      <w:bookmarkEnd w:id="679"/>
      <w:bookmarkEnd w:id="680"/>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Fennec Pharmaceuticals Inc. (the “</w:t>
      </w:r>
      <w:r>
        <w:rPr>
          <w:rFonts w:ascii="Times New Roman;Times;serif" w:hAnsi="Times New Roman;Times;serif"/>
          <w:sz w:val="20"/>
          <w:u w:val="single"/>
        </w:rPr>
        <w:t>Company</w:t>
      </w:r>
      <w:r>
        <w:rPr>
          <w:rFonts w:ascii="Times New Roman;Times;serif" w:hAnsi="Times New Roman;Times;serif"/>
          <w:sz w:val="20"/>
        </w:rPr>
        <w:t>”) on Form 10-Q for the period ended March 31, 2026 (the “</w:t>
      </w:r>
      <w:r>
        <w:rPr>
          <w:rFonts w:ascii="Times New Roman;Times;serif" w:hAnsi="Times New Roman;Times;serif"/>
          <w:sz w:val="20"/>
          <w:u w:val="single"/>
        </w:rPr>
        <w:t>Report</w:t>
      </w:r>
      <w:r>
        <w:rPr>
          <w:rFonts w:ascii="Times New Roman;Times;serif" w:hAnsi="Times New Roman;Times;serif"/>
          <w:sz w:val="20"/>
        </w:rPr>
        <w:t>”), each of the undersigned, Jeffrey Hackman, Chief Executive Officer of the Company, and Robert Andrade, Chief Financial Officer of the Company, hereby certifies pursuant to 18 U.S.C.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47" w:type="dxa"/>
            <w:tcBorders/>
            <w:vAlign w:val="center"/>
          </w:tcPr>
          <w:p>
            <w:pPr>
              <w:pStyle w:val="TableContents"/>
              <w:bidi w:val="0"/>
              <w:spacing w:before="0" w:after="283"/>
              <w:ind w:left="0" w:right="0" w:hanging="0"/>
              <w:jc w:val="left"/>
              <w:rPr>
                <w:sz w:val="4"/>
                <w:szCs w:val="4"/>
              </w:rPr>
            </w:pPr>
            <w:r>
              <w:rPr>
                <w:sz w:val="4"/>
                <w:szCs w:val="4"/>
              </w:rPr>
            </w:r>
          </w:p>
        </w:tc>
        <w:tc>
          <w:tcPr>
            <w:tcW w:w="9797"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center"/>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Hackman</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78" w:type="dxa"/>
        <w:jc w:val="center"/>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81" w:name="fencf-20260331xex99d1.htm"/>
      <w:bookmarkStart w:id="682" w:name="ksfencf20260331xex99d1"/>
      <w:bookmarkEnd w:id="681"/>
      <w:bookmarkEnd w:id="682"/>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386840" cy="662940"/>
            <wp:effectExtent l="0" t="0" r="0" b="0"/>
            <wp:docPr id="15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 descr=""/>
                    <pic:cNvPicPr>
                      <a:picLocks noChangeAspect="1" noChangeArrowheads="1"/>
                    </pic:cNvPicPr>
                  </pic:nvPicPr>
                  <pic:blipFill>
                    <a:blip r:embed="rId3"/>
                    <a:stretch>
                      <a:fillRect/>
                    </a:stretch>
                  </pic:blipFill>
                  <pic:spPr bwMode="auto">
                    <a:xfrm>
                      <a:off x="0" y="0"/>
                      <a:ext cx="1386840" cy="6629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8"/>
        </w:rPr>
      </w:pPr>
      <w:r>
        <w:rPr>
          <w:rFonts w:ascii="Times New Roman;Times;serif" w:hAnsi="Times New Roman;Times;serif"/>
          <w:b/>
          <w:caps/>
          <w:sz w:val="28"/>
        </w:rPr>
        <w:t>FENNEC PHARMACEUTICALS REPORTS First Quarter 2026 Financial Results and Provides Business Update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Achieved First Quarter 2026 Total Net Revenues of $15.1 Million, Up 73% Year Over Year ~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Field Sales Expansion Showing Early Signs of Positive Results with Record PEDMARK</w:t>
      </w:r>
      <w:r>
        <w:rPr>
          <w:rFonts w:ascii="Times New Roman;Times;serif" w:hAnsi="Times New Roman;Times;serif"/>
          <w:i/>
          <w:sz w:val="18"/>
        </w:rPr>
        <w:t>®</w:t>
      </w:r>
      <w:r>
        <w:rPr>
          <w:rFonts w:ascii="Times New Roman;Times;serif" w:hAnsi="Times New Roman;Times;serif"/>
          <w:sz w:val="20"/>
        </w:rPr>
        <w:t xml:space="preserve"> </w:t>
      </w:r>
      <w:r>
        <w:rPr>
          <w:rFonts w:ascii="Times New Roman;Times;serif" w:hAnsi="Times New Roman;Times;serif"/>
          <w:i/>
          <w:sz w:val="24"/>
        </w:rPr>
        <w:t>Demand in April 2026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Initiated Third Institution-Led Clinical Study Evaluating PEDMARK</w:t>
      </w:r>
      <w:r>
        <w:rPr>
          <w:rFonts w:ascii="Times New Roman;Times;serif" w:hAnsi="Times New Roman;Times;serif"/>
          <w:i/>
          <w:sz w:val="18"/>
        </w:rPr>
        <w:t>®</w:t>
      </w:r>
      <w:r>
        <w:rPr>
          <w:rFonts w:ascii="Times New Roman;Times;serif" w:hAnsi="Times New Roman;Times;serif"/>
          <w:sz w:val="20"/>
        </w:rPr>
        <w:t xml:space="preserve"> </w:t>
      </w:r>
      <w:r>
        <w:rPr>
          <w:rFonts w:ascii="Times New Roman;Times;serif" w:hAnsi="Times New Roman;Times;serif"/>
          <w:i/>
          <w:sz w:val="24"/>
        </w:rPr>
        <w:t>in Adolescent and Young Adult (AYA) and Adult Patients with Head and Neck and Testicular Cancers ~</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Four Abstracts Evaluating PEDMARK</w:t>
      </w:r>
      <w:r>
        <w:rPr>
          <w:rFonts w:ascii="Times New Roman;Times;serif" w:hAnsi="Times New Roman;Times;serif"/>
          <w:i/>
          <w:sz w:val="18"/>
        </w:rPr>
        <w:t>®</w:t>
      </w:r>
      <w:r>
        <w:rPr>
          <w:rFonts w:ascii="Times New Roman;Times;serif" w:hAnsi="Times New Roman;Times;serif"/>
          <w:sz w:val="20"/>
        </w:rPr>
        <w:t xml:space="preserve"> </w:t>
      </w:r>
      <w:r>
        <w:rPr>
          <w:rFonts w:ascii="Times New Roman;Times;serif" w:hAnsi="Times New Roman;Times;serif"/>
          <w:i/>
          <w:sz w:val="24"/>
        </w:rPr>
        <w:t>will be Included in the Upcoming 2026 American Society of Clinical Oncology (ASCO) Annual Meeting Program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Management to Host Conference Call Today at 8:30 a.m. ET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Research Triangle Park, NC, May 14, 2026 </w:t>
      </w:r>
      <w:r>
        <w:rPr>
          <w:rFonts w:ascii="Times New Roman;Times;serif" w:hAnsi="Times New Roman;Times;serif"/>
          <w:sz w:val="20"/>
        </w:rPr>
        <w:t>– </w:t>
      </w:r>
      <w:r>
        <w:rPr>
          <w:rFonts w:ascii="Times New Roman;Times;serif" w:hAnsi="Times New Roman;Times;serif"/>
          <w:sz w:val="24"/>
        </w:rPr>
        <w:t>Fennec Pharmaceuticals Inc. (NASDAQ:FENC; TSX: FRX), a specialty pharmaceutical company, today reported its financial results for the first quarter ended March 31, 2026 and provided a business update.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4"/>
        </w:rPr>
        <w:t>We are encouraged by our continued quarter-over-quarter growth and strong start to the year. 2026 is a defining period for Fennec, with growing clinical interest in independently evaluating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(sodium thiosulfate injection) across new patient populations and tumor types that reinforces our confidence in its broader potential,” said Jeff Hackman, chief executive officer of Fennec Pharmaceuticals. “At the same time, the strategic enhancements we’ve made to our field force are already sharpening our execution and expanding our reach – in tandem, the positive experiences we’re seeing through our Fennec HEARS</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program are translating into meaningful access and strong conversion rates, resulting in more patients being treated. Coupled with our solid financial foundation, we believe we are well-positioned to continue to build momentum and deliver sustained growth throughout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Business Highlights: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Continued Growth Within Key PEDMARK</w:t>
            </w:r>
            <w:r>
              <w:rPr>
                <w:rFonts w:ascii="Times New Roman;Times;serif" w:hAnsi="Times New Roman;Times;serif"/>
                <w:b/>
                <w:i w:val="false"/>
                <w:caps w:val="false"/>
                <w:smallCaps w:val="false"/>
                <w:sz w:val="18"/>
              </w:rPr>
              <w:t>®</w:t>
            </w:r>
            <w:r>
              <w:rPr>
                <w:caps w:val="false"/>
                <w:smallCaps w:val="false"/>
              </w:rPr>
              <w:t> </w:t>
            </w:r>
            <w:r>
              <w:rPr>
                <w:rFonts w:ascii="Times New Roman;Times;serif" w:hAnsi="Times New Roman;Times;serif"/>
                <w:b/>
                <w:i w:val="false"/>
                <w:caps w:val="false"/>
                <w:smallCaps w:val="false"/>
                <w:sz w:val="24"/>
              </w:rPr>
              <w:t>Accounts</w:t>
            </w:r>
            <w:r>
              <w:rPr>
                <w:rFonts w:ascii="Times New Roman;Times;serif" w:hAnsi="Times New Roman;Times;serif"/>
                <w:b w:val="false"/>
                <w:i w:val="false"/>
                <w:caps w:val="false"/>
                <w:smallCaps w:val="false"/>
                <w:sz w:val="24"/>
              </w:rPr>
              <w:t>: Adoption continues to build across both new and existing accounts, with established prescribers demonstrating growing confidence in PEDMARK</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 contributing to deeper utilization and higher vials per account. Demand in the first quarter was driven by prescribing in three core tumor types: testicular, cervical and head and neck cancers, and these remain foundational to Fennec’s commercial opportunity. Additionally, our comprehensive patient services HUB, Fennec HEARS</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 continues to be an important contributor to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utilization and HCP adoption. Through ongoing operational refinements, we are seeing more patients enter the funnel, while the overall experience for those patients continues to improve.</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Initiation of Third Institution-Led Clinical Study</w:t>
            </w:r>
            <w:r>
              <w:rPr>
                <w:rFonts w:ascii="Times New Roman;Times;serif" w:hAnsi="Times New Roman;Times;serif"/>
                <w:b w:val="false"/>
                <w:i w:val="false"/>
                <w:caps w:val="false"/>
                <w:smallCaps w:val="false"/>
                <w:sz w:val="24"/>
              </w:rPr>
              <w:t xml:space="preserve">: In April 2026, Fennec announced the initiation of an investigator-sponsored study by the </w:t>
            </w:r>
            <w:r>
              <w:rPr>
                <w:rFonts w:ascii="Times New Roman;Times;serif" w:hAnsi="Times New Roman;Times;serif"/>
                <w:b w:val="false"/>
                <w:i w:val="false"/>
                <w:caps w:val="false"/>
                <w:smallCaps w:val="false"/>
                <w:color w:val="5B9BD5"/>
                <w:sz w:val="24"/>
                <w:u w:val="single"/>
              </w:rPr>
              <w:t>University of Arizona Cancer Center</w:t>
            </w:r>
            <w:r>
              <w:rPr>
                <w:caps w:val="false"/>
                <w:smallCaps w:val="false"/>
              </w:rPr>
              <w:t> </w:t>
            </w:r>
            <w:r>
              <w:rPr>
                <w:rFonts w:ascii="Times New Roman;Times;serif" w:hAnsi="Times New Roman;Times;serif"/>
                <w:b w:val="false"/>
                <w:i w:val="false"/>
                <w:caps w:val="false"/>
                <w:smallCaps w:val="false"/>
                <w:sz w:val="24"/>
              </w:rPr>
              <w:t>to evaluate use of PEDMARK</w:t>
            </w:r>
            <w:r>
              <w:rPr>
                <w:rFonts w:ascii="Times New Roman;Times;serif" w:hAnsi="Times New Roman;Times;serif"/>
                <w:b w:val="false"/>
                <w:i w:val="false"/>
                <w:caps w:val="false"/>
                <w:smallCaps w:val="false"/>
                <w:sz w:val="18"/>
              </w:rPr>
              <w:t>®</w:t>
            </w:r>
            <w:r>
              <w:rPr>
                <w:caps w:val="false"/>
                <w:smallCaps w:val="false"/>
              </w:rPr>
              <w:t> </w:t>
            </w:r>
            <w:r>
              <w:rPr>
                <w:rFonts w:ascii="Times New Roman;Times;serif" w:hAnsi="Times New Roman;Times;serif"/>
                <w:b w:val="false"/>
                <w:i w:val="false"/>
                <w:caps w:val="false"/>
                <w:smallCaps w:val="false"/>
                <w:sz w:val="24"/>
              </w:rPr>
              <w:t>in AYA and adult patients with head and neck and testicular cancers receiving cisplatin.</w:t>
            </w:r>
            <w:r>
              <w:rPr>
                <w:caps w:val="false"/>
                <w:smallCaps w:val="false"/>
              </w:rPr>
              <w:t xml:space="preserve"> </w:t>
            </w:r>
            <w:r>
              <w:rPr>
                <w:rFonts w:ascii="Times New Roman;Times;serif" w:hAnsi="Times New Roman;Times;serif"/>
                <w:b w:val="false"/>
                <w:i w:val="false"/>
                <w:caps w:val="false"/>
                <w:smallCaps w:val="false"/>
                <w:sz w:val="24"/>
              </w:rPr>
              <w:t>Additional investigator-initiated studies supporting the use of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have been submitted to Fennec and are currently under review.</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2026 American Society of Clinical Oncology (ASCO) Annual Meeting: </w:t>
            </w:r>
            <w:r>
              <w:rPr>
                <w:rFonts w:ascii="Times New Roman;Times;serif" w:hAnsi="Times New Roman;Times;serif"/>
                <w:b w:val="false"/>
                <w:i w:val="false"/>
                <w:caps w:val="false"/>
                <w:smallCaps w:val="false"/>
                <w:sz w:val="24"/>
              </w:rPr>
              <w:t>Four abstracts evaluating PEDMARK</w:t>
            </w:r>
            <w:r>
              <w:rPr>
                <w:rFonts w:ascii="Times New Roman;Times;serif" w:hAnsi="Times New Roman;Times;serif"/>
                <w:b w:val="false"/>
                <w:i w:val="false"/>
                <w:caps w:val="false"/>
                <w:smallCaps w:val="false"/>
                <w:sz w:val="18"/>
              </w:rPr>
              <w:t xml:space="preserve">® </w:t>
            </w:r>
            <w:r>
              <w:rPr>
                <w:rFonts w:ascii="Times New Roman;Times;serif" w:hAnsi="Times New Roman;Times;serif"/>
                <w:b w:val="false"/>
                <w:i w:val="false"/>
                <w:caps w:val="false"/>
                <w:smallCaps w:val="false"/>
                <w:sz w:val="24"/>
              </w:rPr>
              <w:t>were accepted as part of the 2026 ASCO Annual Meeting program, taking place May 29-June 2, 2026 in Chicago, IL.</w:t>
            </w:r>
          </w:p>
        </w:tc>
      </w:tr>
    </w:tbl>
    <w:p>
      <w:pPr>
        <w:pStyle w:val="TextBody"/>
        <w:bidi w:val="0"/>
        <w:spacing w:before="0" w:after="0"/>
        <w:ind w:left="36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Upcoming Events:</w:t>
      </w:r>
    </w:p>
    <w:p>
      <w:pPr>
        <w:pStyle w:val="TextBody"/>
        <w:bidi w:val="0"/>
        <w:spacing w:lineRule="auto" w:line="30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Annual Meeting of Shareholders: </w:t>
            </w:r>
            <w:r>
              <w:rPr>
                <w:rFonts w:ascii="Times New Roman;Times;serif" w:hAnsi="Times New Roman;Times;serif"/>
                <w:b w:val="false"/>
                <w:i w:val="false"/>
                <w:caps w:val="false"/>
                <w:smallCaps w:val="false"/>
                <w:sz w:val="24"/>
              </w:rPr>
              <w:t>Fennec would like to invite shareholders to participate in the Company’s Annual General Meeting on Tuesday, Wednesday June 10, 2026 at 10:00 a.m. ET, which will be held virtually and online by visiting www.virtualshareholdermeeting.com/FENC2026.</w:t>
            </w:r>
          </w:p>
        </w:tc>
      </w:tr>
    </w:tbl>
    <w:p>
      <w:pPr>
        <w:pStyle w:val="TextBody"/>
        <w:bidi w:val="0"/>
        <w:spacing w:before="0" w:after="0"/>
        <w:ind w:left="360" w:right="0" w:hanging="0"/>
        <w:jc w:val="both"/>
        <w:rPr/>
      </w:pPr>
      <w:r>
        <w:rPr/>
        <w:t>​</w:t>
      </w:r>
    </w:p>
    <w:tbl>
      <w:tblPr>
        <w:tblW w:w="9790" w:type="dxa"/>
        <w:jc w:val="left"/>
        <w:tblInd w:w="0" w:type="dxa"/>
        <w:tblLayout w:type="fixed"/>
        <w:tblCellMar>
          <w:top w:w="0" w:type="dxa"/>
          <w:left w:w="0" w:type="dxa"/>
          <w:bottom w:w="0" w:type="dxa"/>
          <w:right w:w="0" w:type="dxa"/>
        </w:tblCellMar>
      </w:tblPr>
      <w:tblGrid>
        <w:gridCol w:w="170"/>
        <w:gridCol w:w="9620"/>
      </w:tblGrid>
      <w:tr>
        <w:trPr/>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Investor Conferences: </w:t>
            </w:r>
            <w:r>
              <w:rPr>
                <w:rFonts w:ascii="Times New Roman;Times;serif" w:hAnsi="Times New Roman;Times;serif"/>
                <w:b w:val="false"/>
                <w:i w:val="false"/>
                <w:caps w:val="false"/>
                <w:smallCaps w:val="false"/>
                <w:sz w:val="24"/>
              </w:rPr>
              <w:t xml:space="preserve">Fennec will be participating in the following upcoming investor conferences: </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H.C. Wainwright 4th Annual BioConnect Conference, held in partnership with Nasdaq in NYC, on May 19, 2026; </w:t>
            </w:r>
          </w:p>
        </w:tc>
      </w:tr>
    </w:tbl>
    <w:tbl>
      <w:tblPr>
        <w:tblW w:w="9618" w:type="dxa"/>
        <w:jc w:val="left"/>
        <w:tblInd w:w="0" w:type="dxa"/>
        <w:tblLayout w:type="fixed"/>
        <w:tblCellMar>
          <w:top w:w="0" w:type="dxa"/>
          <w:left w:w="0" w:type="dxa"/>
          <w:bottom w:w="0" w:type="dxa"/>
          <w:right w:w="0" w:type="dxa"/>
        </w:tblCellMar>
      </w:tblPr>
      <w:tblGrid>
        <w:gridCol w:w="23"/>
        <w:gridCol w:w="140"/>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B. Riley Securities 2026 Annual Investor Conference in Los Angeles, CA, on May 20 &amp; 21, 2026;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24th Annual Craig-Hallum Institutional Investor Conference being held in Minneapolis, MN on May 28, 2026.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4"/>
          <w:shd w:fill="FFFFFF" w:val="clear"/>
        </w:rPr>
      </w:pPr>
      <w:r>
        <w:rPr>
          <w:rFonts w:ascii="Times New Roman;Times;serif" w:hAnsi="Times New Roman;Times;serif"/>
          <w:b/>
          <w:sz w:val="24"/>
          <w:shd w:fill="FFFFFF" w:val="clear"/>
        </w:rPr>
        <w:t>Financial Results for the First Quarter Ended March 31, 2026</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Net Product Sales </w:t>
            </w:r>
            <w:r>
              <w:rPr>
                <w:caps w:val="false"/>
                <w:smallCaps w:val="false"/>
              </w:rPr>
              <w:t>– </w:t>
            </w:r>
            <w:r>
              <w:rPr>
                <w:rFonts w:ascii="Times New Roman;Times;serif" w:hAnsi="Times New Roman;Times;serif"/>
                <w:b w:val="false"/>
                <w:i w:val="false"/>
                <w:caps w:val="false"/>
                <w:smallCaps w:val="false"/>
                <w:sz w:val="24"/>
              </w:rPr>
              <w:t>For the first quarter of 2026, the Company recorded net product sales of approximately $15.1 million compared to $8.8 million in the first quarter of 2025. The increase in sales is attributable to growth across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accounts, </w:t>
            </w:r>
            <w:r>
              <w:rPr>
                <w:rFonts w:ascii="Times New Roman;Times;serif" w:hAnsi="Times New Roman;Times;serif"/>
                <w:b w:val="false"/>
                <w:i w:val="false"/>
                <w:caps w:val="false"/>
                <w:smallCaps w:val="false"/>
                <w:color w:val="27251E"/>
                <w:sz w:val="24"/>
              </w:rPr>
              <w:t>including new accounts in the AYA population.</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Selling and Marketing Expenses – </w:t>
            </w:r>
            <w:r>
              <w:rPr>
                <w:rFonts w:ascii="Times New Roman;Times;serif" w:hAnsi="Times New Roman;Times;serif"/>
                <w:b w:val="false"/>
                <w:i w:val="false"/>
                <w:caps w:val="false"/>
                <w:smallCaps w:val="false"/>
                <w:sz w:val="24"/>
              </w:rPr>
              <w:t xml:space="preserve">The Company recorded $11.4 million in selling and marketing expenses in the first quarter of 2026 compared to $3.2 million in the first quarter of 2025. The increase of approximately $8.2 million is largely related to the higher </w:t>
            </w:r>
            <w:r>
              <w:rPr>
                <w:rFonts w:ascii="Times New Roman;Times;serif" w:hAnsi="Times New Roman;Times;serif"/>
                <w:b w:val="false"/>
                <w:i w:val="false"/>
                <w:caps w:val="false"/>
                <w:smallCaps w:val="false"/>
                <w:color w:val="27251E"/>
                <w:sz w:val="24"/>
              </w:rPr>
              <w:t>costs associated with the commercialization of PEDMARK</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 xml:space="preserve">and related expenses to support the </w:t>
            </w:r>
            <w:r>
              <w:rPr>
                <w:rFonts w:ascii="Times New Roman;Times;serif" w:hAnsi="Times New Roman;Times;serif"/>
                <w:b w:val="false"/>
                <w:i w:val="false"/>
                <w:caps w:val="false"/>
                <w:smallCaps w:val="false"/>
                <w:color w:val="27251E"/>
                <w:sz w:val="24"/>
              </w:rPr>
              <w:t>expansion of our sales organization. Further, on a comparable basis there was a reallocation of select general and administrative expenses to selling and marketing expenses in the first quarter of 2026 compared to the first quarter of 2025</w:t>
            </w:r>
            <w:r>
              <w:rPr>
                <w:rFonts w:ascii="Times New Roman;Times;serif" w:hAnsi="Times New Roman;Times;serif"/>
                <w:b w:val="false"/>
                <w:i w:val="false"/>
                <w:caps w:val="false"/>
                <w:smallCaps w:val="false"/>
                <w:sz w:val="24"/>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General and Administrative (G&amp;A) Expenses – </w:t>
            </w:r>
            <w:r>
              <w:rPr>
                <w:rFonts w:ascii="Times New Roman;Times;serif" w:hAnsi="Times New Roman;Times;serif"/>
                <w:b w:val="false"/>
                <w:i w:val="false"/>
                <w:caps w:val="false"/>
                <w:smallCaps w:val="false"/>
                <w:sz w:val="24"/>
              </w:rPr>
              <w:t>The Company recorded $3.2 million in general and administrative expenses in the first quarter of 2026 compared to $5.9 million in the first quarter of 2025.  There was a $2.7 decrease in general and administrative expenses for the three-month period ended March 31, 2026 compared to 2025.</w:t>
            </w:r>
            <w:r>
              <w:rPr>
                <w:caps w:val="false"/>
                <w:smallCaps w:val="false"/>
                <w:color w:val="27251E"/>
              </w:rPr>
              <w:t xml:space="preserve"> </w:t>
            </w:r>
            <w:r>
              <w:rPr>
                <w:rFonts w:ascii="Times New Roman;Times;serif" w:hAnsi="Times New Roman;Times;serif"/>
                <w:b w:val="false"/>
                <w:i w:val="false"/>
                <w:caps w:val="false"/>
                <w:smallCaps w:val="false"/>
                <w:sz w:val="24"/>
              </w:rPr>
              <w:t>The decrease was primarily due to </w:t>
            </w:r>
            <w:r>
              <w:rPr>
                <w:rFonts w:ascii="Times New Roman;Times;serif" w:hAnsi="Times New Roman;Times;serif"/>
                <w:b w:val="false"/>
                <w:i w:val="false"/>
                <w:caps w:val="false"/>
                <w:smallCaps w:val="false"/>
                <w:color w:val="27251E"/>
                <w:sz w:val="24"/>
              </w:rPr>
              <w:t>lower legal and professional fees as litigation activities concluded. Further, on a comparable basis there was a reallocation of select general and administrative expenses to selling and marketing expenses in the first quarter of 2026 compared to the first quarter of 2025</w:t>
            </w:r>
            <w:r>
              <w:rPr>
                <w:rFonts w:ascii="Times New Roman;Times;serif" w:hAnsi="Times New Roman;Times;serif"/>
                <w:b w:val="false"/>
                <w:i w:val="false"/>
                <w:caps w:val="false"/>
                <w:smallCaps w:val="false"/>
                <w:sz w:val="24"/>
              </w:rPr>
              <w:t xml:space="preserve">. </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Cash Position – </w:t>
            </w:r>
            <w:r>
              <w:rPr>
                <w:rFonts w:ascii="Times New Roman;Times;serif" w:hAnsi="Times New Roman;Times;serif"/>
                <w:b w:val="false"/>
                <w:i w:val="false"/>
                <w:caps w:val="false"/>
                <w:smallCaps w:val="false"/>
                <w:sz w:val="24"/>
              </w:rPr>
              <w:t xml:space="preserve">Cash and cash equivalents were $40.1 million as of March 31, 2026 compared to $36.8 million as of December 31, 2025. The increase in cash in the first quarter is primarily due to operating cash flow of approximately $2.3 million and $1.0 million in cash received from option exercises. We anticipate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that our cash, cash equivalents and investment securities as of March 31, 2026, combined with the projected revenues from PEDMARK</w:t>
            </w: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sz w:val="24"/>
              </w:rPr>
              <w:t>, will be sufficient to fund our business based on our current operating plan.</w:t>
            </w:r>
          </w:p>
        </w:tc>
      </w:tr>
    </w:tbl>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First Quarter 2026 Conference Call Information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Date:</w:t>
      </w:r>
      <w:r>
        <w:rPr>
          <w:rFonts w:ascii="Times New Roman;Times;serif" w:hAnsi="Times New Roman;Times;serif"/>
          <w:sz w:val="24"/>
        </w:rPr>
        <w:t>Thursday, May 14,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Time:</w:t>
      </w:r>
      <w:r>
        <w:rPr>
          <w:rFonts w:ascii="Times New Roman;Times;serif" w:hAnsi="Times New Roman;Times;serif"/>
          <w:sz w:val="24"/>
        </w:rPr>
        <w:t>8:30 a.m. Eastern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 xml:space="preserve">Webcast Link: </w:t>
      </w:r>
      <w:r>
        <w:rPr>
          <w:rFonts w:ascii="Times New Roman;Times;serif" w:hAnsi="Times New Roman;Times;serif"/>
          <w:color w:val="5B9BD5"/>
          <w:sz w:val="24"/>
          <w:u w:val="single"/>
        </w:rPr>
        <w:t>https://edge.media-server.com/mmc/p/2iptdco4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 xml:space="preserve">Participant Link: </w:t>
      </w:r>
      <w:r>
        <w:rPr>
          <w:rFonts w:ascii="Times New Roman;Times;serif" w:hAnsi="Times New Roman;Times;serif"/>
          <w:color w:val="5B9BD5"/>
          <w:sz w:val="24"/>
          <w:u w:val="single"/>
        </w:rPr>
        <w:t>https://register-conf.media-server.com/register/BIaa4b518aeb974d02873eccf8f56d92f3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4"/>
        </w:rPr>
        <w:t>Financial</w:t>
      </w:r>
      <w:r>
        <w:rPr>
          <w:rFonts w:ascii="Times New Roman;Times;serif" w:hAnsi="Times New Roman;Times;serif"/>
          <w:b/>
          <w:spacing w:val="-1"/>
          <w:sz w:val="20"/>
        </w:rPr>
        <w:t xml:space="preserve"> </w:t>
      </w:r>
      <w:r>
        <w:rPr>
          <w:rFonts w:ascii="Times New Roman;Times;serif" w:hAnsi="Times New Roman;Times;serif"/>
          <w:b/>
          <w:spacing w:val="-2"/>
          <w:sz w:val="24"/>
        </w:rPr>
        <w:t>Update</w:t>
      </w:r>
    </w:p>
    <w:p>
      <w:pPr>
        <w:pStyle w:val="TextBody"/>
        <w:bidi w:val="0"/>
        <w:spacing w:before="1" w:after="240"/>
        <w:ind w:left="72" w:right="69" w:hanging="0"/>
        <w:jc w:val="both"/>
        <w:rPr>
          <w:rFonts w:ascii="Times New Roman;Times;serif" w:hAnsi="Times New Roman;Times;serif"/>
          <w:sz w:val="20"/>
        </w:rPr>
      </w:pPr>
      <w:r>
        <w:rPr>
          <w:rFonts w:ascii="Times New Roman;Times;serif" w:hAnsi="Times New Roman;Times;serif"/>
          <w:sz w:val="24"/>
        </w:rPr>
        <w:t>The selected financial data presented below is derived from our unaudited condensed consolidated financial statements, which were prepared in accordance with U.S. generally accepted accounting principles.</w:t>
      </w:r>
      <w:r>
        <w:rPr>
          <w:rFonts w:ascii="Times New Roman;Times;serif" w:hAnsi="Times New Roman;Times;serif"/>
          <w:spacing w:val="17"/>
          <w:sz w:val="20"/>
        </w:rPr>
        <w:t xml:space="preserve"> </w:t>
      </w:r>
      <w:r>
        <w:rPr>
          <w:rFonts w:ascii="Times New Roman;Times;serif" w:hAnsi="Times New Roman;Times;serif"/>
          <w:sz w:val="24"/>
        </w:rPr>
        <w:t>The</w:t>
      </w:r>
      <w:r>
        <w:rPr>
          <w:rFonts w:ascii="Times New Roman;Times;serif" w:hAnsi="Times New Roman;Times;serif"/>
          <w:spacing w:val="18"/>
          <w:sz w:val="20"/>
        </w:rPr>
        <w:t xml:space="preserve"> </w:t>
      </w:r>
      <w:r>
        <w:rPr>
          <w:rFonts w:ascii="Times New Roman;Times;serif" w:hAnsi="Times New Roman;Times;serif"/>
          <w:sz w:val="24"/>
        </w:rPr>
        <w:t>complete</w:t>
      </w:r>
      <w:r>
        <w:rPr>
          <w:rFonts w:ascii="Times New Roman;Times;serif" w:hAnsi="Times New Roman;Times;serif"/>
          <w:spacing w:val="20"/>
          <w:sz w:val="20"/>
        </w:rPr>
        <w:t xml:space="preserve"> </w:t>
      </w:r>
      <w:r>
        <w:rPr>
          <w:rFonts w:ascii="Times New Roman;Times;serif" w:hAnsi="Times New Roman;Times;serif"/>
          <w:sz w:val="24"/>
        </w:rPr>
        <w:t>unaudited</w:t>
      </w:r>
      <w:r>
        <w:rPr>
          <w:rFonts w:ascii="Times New Roman;Times;serif" w:hAnsi="Times New Roman;Times;serif"/>
          <w:spacing w:val="19"/>
          <w:sz w:val="20"/>
        </w:rPr>
        <w:t xml:space="preserve"> </w:t>
      </w:r>
      <w:r>
        <w:rPr>
          <w:rFonts w:ascii="Times New Roman;Times;serif" w:hAnsi="Times New Roman;Times;serif"/>
          <w:sz w:val="24"/>
        </w:rPr>
        <w:t>condensed</w:t>
      </w:r>
      <w:r>
        <w:rPr>
          <w:rFonts w:ascii="Times New Roman;Times;serif" w:hAnsi="Times New Roman;Times;serif"/>
          <w:spacing w:val="19"/>
          <w:sz w:val="20"/>
        </w:rPr>
        <w:t xml:space="preserve"> </w:t>
      </w:r>
      <w:r>
        <w:rPr>
          <w:rFonts w:ascii="Times New Roman;Times;serif" w:hAnsi="Times New Roman;Times;serif"/>
          <w:sz w:val="24"/>
        </w:rPr>
        <w:t>consolidated</w:t>
      </w:r>
      <w:r>
        <w:rPr>
          <w:rFonts w:ascii="Times New Roman;Times;serif" w:hAnsi="Times New Roman;Times;serif"/>
          <w:spacing w:val="19"/>
          <w:sz w:val="20"/>
        </w:rPr>
        <w:t xml:space="preserve"> </w:t>
      </w:r>
      <w:r>
        <w:rPr>
          <w:rFonts w:ascii="Times New Roman;Times;serif" w:hAnsi="Times New Roman;Times;serif"/>
          <w:sz w:val="24"/>
        </w:rPr>
        <w:t>financial</w:t>
      </w:r>
      <w:r>
        <w:rPr>
          <w:rFonts w:ascii="Times New Roman;Times;serif" w:hAnsi="Times New Roman;Times;serif"/>
          <w:spacing w:val="20"/>
          <w:sz w:val="20"/>
        </w:rPr>
        <w:t xml:space="preserve"> </w:t>
      </w:r>
      <w:r>
        <w:rPr>
          <w:rFonts w:ascii="Times New Roman;Times;serif" w:hAnsi="Times New Roman;Times;serif"/>
          <w:sz w:val="24"/>
        </w:rPr>
        <w:t>statements</w:t>
      </w:r>
      <w:r>
        <w:rPr>
          <w:rFonts w:ascii="Times New Roman;Times;serif" w:hAnsi="Times New Roman;Times;serif"/>
          <w:spacing w:val="19"/>
          <w:sz w:val="20"/>
        </w:rPr>
        <w:t xml:space="preserve"> </w:t>
      </w:r>
      <w:r>
        <w:rPr>
          <w:rFonts w:ascii="Times New Roman;Times;serif" w:hAnsi="Times New Roman;Times;serif"/>
          <w:sz w:val="24"/>
        </w:rPr>
        <w:t>for</w:t>
      </w:r>
      <w:r>
        <w:rPr>
          <w:rFonts w:ascii="Times New Roman;Times;serif" w:hAnsi="Times New Roman;Times;serif"/>
          <w:spacing w:val="18"/>
          <w:sz w:val="20"/>
        </w:rPr>
        <w:t xml:space="preserve"> </w:t>
      </w:r>
      <w:r>
        <w:rPr>
          <w:rFonts w:ascii="Times New Roman;Times;serif" w:hAnsi="Times New Roman;Times;serif"/>
          <w:sz w:val="24"/>
        </w:rPr>
        <w:t>the</w:t>
      </w:r>
      <w:r>
        <w:rPr>
          <w:rFonts w:ascii="Times New Roman;Times;serif" w:hAnsi="Times New Roman;Times;serif"/>
          <w:spacing w:val="19"/>
          <w:sz w:val="20"/>
        </w:rPr>
        <w:t xml:space="preserve"> </w:t>
      </w:r>
      <w:r>
        <w:rPr>
          <w:rFonts w:ascii="Times New Roman;Times;serif" w:hAnsi="Times New Roman;Times;serif"/>
          <w:sz w:val="24"/>
        </w:rPr>
        <w:t>period</w:t>
      </w:r>
      <w:r>
        <w:rPr>
          <w:rFonts w:ascii="Times New Roman;Times;serif" w:hAnsi="Times New Roman;Times;serif"/>
          <w:spacing w:val="19"/>
          <w:sz w:val="20"/>
        </w:rPr>
        <w:t xml:space="preserve"> </w:t>
      </w:r>
      <w:r>
        <w:rPr>
          <w:rFonts w:ascii="Times New Roman;Times;serif" w:hAnsi="Times New Roman;Times;serif"/>
          <w:spacing w:val="-2"/>
          <w:sz w:val="24"/>
        </w:rPr>
        <w:t xml:space="preserve">ended </w:t>
      </w:r>
      <w:r>
        <w:rPr>
          <w:rFonts w:ascii="Times New Roman;Times;serif" w:hAnsi="Times New Roman;Times;serif"/>
          <w:sz w:val="24"/>
        </w:rPr>
        <w:t>March 31,</w:t>
      </w:r>
      <w:r>
        <w:rPr>
          <w:rFonts w:ascii="Times New Roman;Times;serif" w:hAnsi="Times New Roman;Times;serif"/>
          <w:spacing w:val="-12"/>
          <w:sz w:val="20"/>
        </w:rPr>
        <w:t xml:space="preserve"> </w:t>
      </w:r>
      <w:r>
        <w:rPr>
          <w:rFonts w:ascii="Times New Roman;Times;serif" w:hAnsi="Times New Roman;Times;serif"/>
          <w:sz w:val="24"/>
        </w:rPr>
        <w:t>2026,</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management's</w:t>
      </w:r>
      <w:r>
        <w:rPr>
          <w:rFonts w:ascii="Times New Roman;Times;serif" w:hAnsi="Times New Roman;Times;serif"/>
          <w:spacing w:val="-12"/>
          <w:sz w:val="20"/>
        </w:rPr>
        <w:t xml:space="preserve"> </w:t>
      </w:r>
      <w:r>
        <w:rPr>
          <w:rFonts w:ascii="Times New Roman;Times;serif" w:hAnsi="Times New Roman;Times;serif"/>
          <w:sz w:val="24"/>
        </w:rPr>
        <w:t>discussion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analysis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financial</w:t>
      </w:r>
      <w:r>
        <w:rPr>
          <w:rFonts w:ascii="Times New Roman;Times;serif" w:hAnsi="Times New Roman;Times;serif"/>
          <w:spacing w:val="-10"/>
          <w:sz w:val="20"/>
        </w:rPr>
        <w:t xml:space="preserve"> </w:t>
      </w:r>
      <w:r>
        <w:rPr>
          <w:rFonts w:ascii="Times New Roman;Times;serif" w:hAnsi="Times New Roman;Times;serif"/>
          <w:sz w:val="24"/>
        </w:rPr>
        <w:t>condition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results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operations will be available via www.sec.gov</w:t>
      </w:r>
      <w:r>
        <w:rPr>
          <w:rFonts w:ascii="Times New Roman;Times;serif" w:hAnsi="Times New Roman;Times;serif"/>
          <w:sz w:val="20"/>
        </w:rPr>
        <w:t xml:space="preserve"> </w:t>
      </w:r>
      <w:r>
        <w:rPr>
          <w:rFonts w:ascii="Times New Roman;Times;serif" w:hAnsi="Times New Roman;Times;serif"/>
          <w:sz w:val="24"/>
        </w:rPr>
        <w:t>and www.sedar.com</w:t>
      </w:r>
      <w:r>
        <w:rPr>
          <w:rFonts w:ascii="Times New Roman;Times;serif" w:hAnsi="Times New Roman;Times;serif"/>
          <w:color w:val="1F487C"/>
          <w:sz w:val="24"/>
        </w:rPr>
        <w:t>.</w:t>
      </w:r>
      <w:r>
        <w:rPr>
          <w:rFonts w:ascii="Times New Roman;Times;serif" w:hAnsi="Times New Roman;Times;serif"/>
          <w:color w:val="1F487C"/>
          <w:sz w:val="20"/>
        </w:rPr>
        <w:t xml:space="preserve"> </w:t>
      </w:r>
      <w:r>
        <w:rPr>
          <w:rFonts w:ascii="Times New Roman;Times;serif" w:hAnsi="Times New Roman;Times;serif"/>
          <w:sz w:val="24"/>
        </w:rPr>
        <w:t>All values are presented in thousands unless otherwise noted.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Condensed Consolidated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per share amounts)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tbl>
      <w:tblPr>
        <w:tblW w:w="8211" w:type="dxa"/>
        <w:jc w:val="left"/>
        <w:tblInd w:w="0" w:type="dxa"/>
        <w:tblLayout w:type="fixed"/>
        <w:tblCellMar>
          <w:top w:w="0" w:type="dxa"/>
          <w:left w:w="0" w:type="dxa"/>
          <w:bottom w:w="0" w:type="dxa"/>
          <w:right w:w="0" w:type="dxa"/>
        </w:tblCellMar>
      </w:tblPr>
      <w:tblGrid>
        <w:gridCol w:w="5671"/>
        <w:gridCol w:w="242"/>
        <w:gridCol w:w="778"/>
        <w:gridCol w:w="346"/>
        <w:gridCol w:w="242"/>
        <w:gridCol w:w="778"/>
        <w:gridCol w:w="154"/>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01085" cy="175260"/>
                      <wp:effectExtent l="0" t="0" r="0" b="0"/>
                      <wp:wrapNone/>
                      <wp:docPr id="159" name="Frame158"/>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bookmarkStart w:id="683" w:name="_f2438f0f_c13c_46ef_88d5_4da970e53744"/>
                                  <w:bookmarkEnd w:id="683"/>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684" w:name="_f2438f0f_c13c_46ef_88d5_4da970e53744"/>
                            <w:bookmarkEnd w:id="684"/>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3670" cy="175260"/>
                      <wp:effectExtent l="0" t="0" r="0" b="0"/>
                      <wp:wrapNone/>
                      <wp:docPr id="160" name="Frame15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4030" cy="175260"/>
                      <wp:effectExtent l="0" t="0" r="0" b="0"/>
                      <wp:wrapNone/>
                      <wp:docPr id="161" name="Frame160"/>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3670" cy="175260"/>
                      <wp:effectExtent l="0" t="0" r="0" b="0"/>
                      <wp:wrapNone/>
                      <wp:docPr id="163" name="Frame16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4030" cy="175260"/>
                      <wp:effectExtent l="0" t="0" r="0" b="0"/>
                      <wp:wrapNone/>
                      <wp:docPr id="164" name="Frame16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7790" cy="175260"/>
                      <wp:effectExtent l="0" t="0" r="0" b="0"/>
                      <wp:wrapNone/>
                      <wp:docPr id="165" name="Frame1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23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0"/>
              <w:ind w:left="0" w:right="0" w:hanging="0"/>
              <w:jc w:val="left"/>
              <w:rPr/>
            </w:pPr>
            <w:r>
              <w:rPr/>
              <w:t>​</w:t>
            </w:r>
          </w:p>
        </w:tc>
        <w:tc>
          <w:tcPr>
            <w:tcW w:w="102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15,108</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8,751</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15,108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8,751</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products sold</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373</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11,422</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3,227</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3,186</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5,865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15,227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9,559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(808)</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242"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242"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339</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236</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(592)</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income/(expense)</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(357)</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(1,165)</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net income/(loss) per common share</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(0.04)</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net income/(loss) per common share</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(0.04)</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34,336</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27,578</w:t>
            </w:r>
          </w:p>
        </w:tc>
        <w:tc>
          <w:tcPr>
            <w:tcW w:w="154"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35,548</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27,578</w:t>
            </w:r>
          </w:p>
        </w:tc>
        <w:tc>
          <w:tcPr>
            <w:tcW w:w="154"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Fennec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393"/>
        <w:gridCol w:w="109"/>
        <w:gridCol w:w="211"/>
        <w:gridCol w:w="887"/>
        <w:gridCol w:w="346"/>
        <w:gridCol w:w="231"/>
        <w:gridCol w:w="1028"/>
      </w:tblGrid>
      <w:tr>
        <w:trPr/>
        <w:tc>
          <w:tcPr>
            <w:tcW w:w="7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694555" cy="175260"/>
                      <wp:effectExtent l="0" t="0" r="0" b="0"/>
                      <wp:wrapNone/>
                      <wp:docPr id="166" name="Frame165"/>
                      <a:graphic xmlns:a="http://schemas.openxmlformats.org/drawingml/2006/main">
                        <a:graphicData uri="http://schemas.microsoft.com/office/word/2010/wordprocessingShape">
                          <wps:wsp>
                            <wps:cNvSpPr txBox="1"/>
                            <wps:spPr>
                              <a:xfrm>
                                <a:off x="0" y="0"/>
                                <a:ext cx="469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63245" cy="175260"/>
                      <wp:effectExtent l="0" t="0" r="0" b="0"/>
                      <wp:wrapNone/>
                      <wp:docPr id="169" name="Frame16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6685" cy="175260"/>
                      <wp:effectExtent l="0" t="0" r="0" b="0"/>
                      <wp:wrapNone/>
                      <wp:docPr id="171" name="Frame17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2780" cy="175260"/>
                      <wp:effectExtent l="0" t="0" r="0" b="0"/>
                      <wp:wrapNone/>
                      <wp:docPr id="172" name="Frame171"/>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pPr>
            <w:r>
              <w:rPr/>
              <w:t>​</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23,221</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66,880</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67,043</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71,822</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70,551</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3,057</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9,586</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10,518</w:t>
            </w:r>
          </w:p>
        </w:tc>
      </w:tr>
      <w:tr>
        <w:trPr/>
        <w:tc>
          <w:tcPr>
            <w:tcW w:w="73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liabilty - Norgine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 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34,147</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35,079</w:t>
            </w:r>
          </w:p>
        </w:tc>
      </w:tr>
      <w:tr>
        <w:trPr/>
        <w:tc>
          <w:tcPr>
            <w:tcW w:w="73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unlimited shares authorized; 34,541 shares issued and outstanding (2025</w:t>
              <w:noBreakHyphen/>
              <w:t>34,163)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191,229</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189,906</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74,424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73,745</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(229,221)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(229,422)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39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37,675</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35,472</w:t>
            </w:r>
          </w:p>
        </w:tc>
      </w:tr>
      <w:tr>
        <w:trPr/>
        <w:tc>
          <w:tcPr>
            <w:tcW w:w="7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71,822</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70,551</w:t>
            </w:r>
          </w:p>
        </w:tc>
      </w:tr>
    </w:tbl>
    <w:p>
      <w:pPr>
        <w:pStyle w:val="TextBody"/>
        <w:bidi w:val="0"/>
        <w:spacing w:before="240" w:after="240"/>
        <w:ind w:left="0" w:right="0" w:hanging="0"/>
        <w:jc w:val="left"/>
        <w:rPr/>
      </w:pPr>
      <w: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About Cisplatin-Induced Ototoxicity</w:t>
      </w:r>
    </w:p>
    <w:p>
      <w:pPr>
        <w:pStyle w:val="TextBody"/>
        <w:bidi w:val="0"/>
        <w:spacing w:before="0" w:after="0"/>
        <w:ind w:left="0" w:right="0" w:hanging="0"/>
        <w:jc w:val="both"/>
        <w:rPr/>
      </w:pPr>
      <w:r>
        <w:rPr>
          <w:rFonts w:ascii="Times New Roman;Times;serif" w:hAnsi="Times New Roman;Times;serif"/>
          <w:sz w:val="24"/>
          <w:shd w:fill="FFFFFF" w:val="clear"/>
        </w:rPr>
        <w:t>Cisplatin and other platinum-based chemotherapies are widely used to treat solid tumors and have been vital in improving survival rates. Unfortunately, these life-saving treatments often result in permanent, irreversible hearing loss, also known as ototoxicity.</w:t>
      </w:r>
      <w:hyperlink w:anchor="endnote-3">
        <w:r>
          <w:rPr>
            <w:rStyle w:val="InternetLink"/>
            <w:rFonts w:ascii="Times New Roman;Times;serif" w:hAnsi="Times New Roman;Times;serif"/>
            <w:sz w:val="18"/>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Hearing loss from cisplatin treatment is not rare. Studies show that between 60-90% of patients treated with cisplatin may develop hearing loss, depending upon the dose and duration of chemotherapy.</w:t>
      </w:r>
      <w:hyperlink w:anchor="endnote-4">
        <w:r>
          <w:rPr>
            <w:rStyle w:val="InternetLink"/>
            <w:rFonts w:ascii="Times New Roman;Times;serif" w:hAnsi="Times New Roman;Times;serif"/>
            <w:sz w:val="18"/>
            <w:shd w:fill="FFFFFF" w:val="clear"/>
          </w:rPr>
          <w:t>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 xml:space="preserve">Many of those treated with cisplatin will require lifelong hearing aids or cochlear implants, which can be helpful for some, but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rFonts w:ascii="Times New Roman;Times;serif" w:hAnsi="Times New Roman;Times;serif"/>
          <w:sz w:val="24"/>
          <w:shd w:fill="FFFFFF" w:val="clear"/>
        </w:rPr>
        <w:t>do not reverse the hearing loss and can be costly over time.</w:t>
      </w:r>
      <w:hyperlink w:anchor="endnote-5">
        <w:r>
          <w:rPr>
            <w:rStyle w:val="InternetLink"/>
            <w:rFonts w:ascii="Times New Roman;Times;serif" w:hAnsi="Times New Roman;Times;serif"/>
            <w:sz w:val="18"/>
            <w:shd w:fill="FFFFFF" w:val="clear"/>
          </w:rPr>
          <w:t>iii</w:t>
        </w:r>
      </w:hyperlink>
      <w:r>
        <w:rPr>
          <w:rFonts w:ascii="Times New Roman;Times;serif" w:hAnsi="Times New Roman;Times;serif"/>
          <w:sz w:val="20"/>
          <w:shd w:fill="FFFFFF" w:val="clear"/>
        </w:rPr>
        <w:t> </w:t>
      </w:r>
      <w:r>
        <w:rPr>
          <w:rFonts w:ascii="Times New Roman;Times;serif" w:hAnsi="Times New Roman;Times;serif"/>
          <w:sz w:val="24"/>
          <w:shd w:fill="FFFFFF" w:val="clear"/>
        </w:rPr>
        <w:t>Treatment-induced hearing loss can reduce quality of survivorship as it impacts many aspects of life, such as speech and language skills, academic performance, social-emotional development, career potential and the ability to live independently.</w:t>
      </w:r>
      <w:hyperlink w:anchor="endnote-6">
        <w:r>
          <w:rPr>
            <w:rStyle w:val="InternetLink"/>
            <w:rFonts w:ascii="Times New Roman;Times;serif" w:hAnsi="Times New Roman;Times;serif"/>
            <w:sz w:val="18"/>
            <w:shd w:fill="FFFFFF" w:val="clear"/>
          </w:rPr>
          <w:t>iv</w:t>
        </w:r>
      </w:hyperlink>
      <w:r>
        <w:rPr>
          <w:rFonts w:ascii="Times New Roman;Times;serif" w:hAnsi="Times New Roman;Times;serif"/>
          <w:sz w:val="18"/>
          <w:shd w:fill="FFFFFF" w:val="clear"/>
        </w:rPr>
        <w:t>,</w:t>
      </w:r>
      <w:hyperlink w:anchor="endnote-7">
        <w:r>
          <w:rPr>
            <w:rStyle w:val="InternetLink"/>
            <w:rFonts w:ascii="Times New Roman;Times;serif" w:hAnsi="Times New Roman;Times;serif"/>
            <w:sz w:val="18"/>
            <w:shd w:fill="FFFFFF" w:val="clear"/>
          </w:rPr>
          <w:t>v</w:t>
        </w:r>
      </w:hyperlink>
      <w:r>
        <w:rPr>
          <w:rFonts w:ascii="Times New Roman;Times;serif" w:hAnsi="Times New Roman;Times;serif"/>
          <w:sz w:val="20"/>
          <w:shd w:fill="FFFFFF" w:val="clear"/>
        </w:rPr>
        <w:t> </w:t>
      </w:r>
      <w:r>
        <w:rPr>
          <w:rFonts w:ascii="Times New Roman;Times;serif" w:hAnsi="Times New Roman;Times;serif"/>
          <w:sz w:val="24"/>
          <w:shd w:fill="FFFFFF" w:val="clear"/>
        </w:rPr>
        <w:t>While audiologic monitoring is recommended to help manage ototoxicity, it is currently underutilized in certain cancer patient populations.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4"/>
          <w:shd w:fill="FFFFFF" w:val="clear"/>
        </w:rPr>
      </w:pPr>
      <w:r>
        <w:rPr>
          <w:rFonts w:ascii="Times New Roman;Times;serif" w:hAnsi="Times New Roman;Times;serif"/>
          <w:b/>
          <w:sz w:val="24"/>
          <w:shd w:fill="FFFFFF" w:val="clear"/>
        </w:rPr>
        <w:t>PEDMARK® (sodium thiosulfate injection)</w:t>
      </w:r>
    </w:p>
    <w:p>
      <w:pPr>
        <w:pStyle w:val="TextBody"/>
        <w:bidi w:val="0"/>
        <w:spacing w:before="0" w:after="0"/>
        <w:ind w:left="0" w:right="0" w:hanging="0"/>
        <w:jc w:val="both"/>
        <w:rPr/>
      </w:pPr>
      <w:r>
        <w:rPr>
          <w:shd w:fill="FFFFFF" w:val="clear"/>
        </w:rPr>
        <w:t>​</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Additionally, PEDMARK is recommended for the adolescent and young adult (AYA) population by the National Comprehensive Cancer Network, or NCCN, with a 2A endorsement.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4"/>
          <w:shd w:fill="FFFFFF" w:val="clear"/>
        </w:rPr>
        <w:t>Approximately 500,000 patients in the U.S. are diagnosed annually with cancers that could be treated with a platinum-based chemotherapy.</w:t>
      </w:r>
      <w:hyperlink w:anchor="endnote-8">
        <w:r>
          <w:rPr>
            <w:rStyle w:val="InternetLink"/>
            <w:rFonts w:ascii="Times New Roman;Times;serif" w:hAnsi="Times New Roman;Times;serif"/>
            <w:sz w:val="18"/>
            <w:shd w:fill="FFFFFF" w:val="clear"/>
          </w:rPr>
          <w:t>vi</w:t>
        </w:r>
      </w:hyperlink>
      <w:r>
        <w:rPr>
          <w:rFonts w:ascii="Times New Roman;Times;serif" w:hAnsi="Times New Roman;Times;serif"/>
          <w:sz w:val="18"/>
          <w:shd w:fill="FFFFFF" w:val="clear"/>
        </w:rPr>
        <w:t>,</w:t>
      </w:r>
      <w:hyperlink w:anchor="endnote-9">
        <w:r>
          <w:rPr>
            <w:rStyle w:val="InternetLink"/>
            <w:rFonts w:ascii="Times New Roman;Times;serif" w:hAnsi="Times New Roman;Times;serif"/>
            <w:sz w:val="18"/>
            <w:shd w:fill="FFFFFF" w:val="clear"/>
          </w:rPr>
          <w:t>vii</w:t>
        </w:r>
      </w:hyperlink>
      <w:r>
        <w:rPr>
          <w:rFonts w:ascii="Times New Roman;Times;serif" w:hAnsi="Times New Roman;Times;serif"/>
          <w:sz w:val="20"/>
          <w:shd w:fill="FFFFFF" w:val="clear"/>
        </w:rPr>
        <w:t xml:space="preserve"> </w:t>
      </w:r>
      <w:r>
        <w:rPr>
          <w:rFonts w:ascii="Times New Roman;Times;serif" w:hAnsi="Times New Roman;Times;serif"/>
          <w:sz w:val="24"/>
          <w:shd w:fill="FFFFFF" w:val="clear"/>
        </w:rPr>
        <w:t>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hyperlink w:anchor="endnote-10">
        <w:r>
          <w:rPr>
            <w:rStyle w:val="InternetLink"/>
            <w:rFonts w:ascii="Times New Roman;Times;serif" w:hAnsi="Times New Roman;Times;serif"/>
            <w:sz w:val="18"/>
            <w:shd w:fill="FFFFFF" w:val="clear"/>
          </w:rPr>
          <w:t>viii</w:t>
        </w:r>
      </w:hyperlink>
      <w:r>
        <w:rPr>
          <w:rFonts w:ascii="Times New Roman;Times;serif" w:hAnsi="Times New Roman;Times;serif"/>
          <w:sz w:val="18"/>
          <w:shd w:fill="FFFFFF" w:val="clear"/>
        </w:rPr>
        <w:t>,</w:t>
      </w:r>
      <w:hyperlink w:anchor="endnote-11">
        <w:r>
          <w:rPr>
            <w:rStyle w:val="InternetLink"/>
            <w:rFonts w:ascii="Times New Roman;Times;serif" w:hAnsi="Times New Roman;Times;serif"/>
            <w:sz w:val="18"/>
            <w:shd w:fill="FFFFFF" w:val="clear"/>
          </w:rPr>
          <w:t>ix</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Indications and Usage</w:t>
      </w:r>
      <w:r>
        <w:rPr>
          <w:rFonts w:ascii="Times New Roman;Times;serif" w:hAnsi="Times New Roman;Times;serif"/>
          <w:sz w:val="24"/>
          <w:shd w:fill="FFFFFF" w:val="clear"/>
        </w:rPr>
        <w:br/>
        <w:t>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(sodium thiosulfate injection) is indicated to reduce the risk of ototoxicity associated with cisplatin in pediatric patients 1 month of age and older with localized, non-metastatic solid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Limitations of Use</w:t>
      </w:r>
      <w:r>
        <w:rPr>
          <w:rFonts w:ascii="Times New Roman;Times;serif" w:hAnsi="Times New Roman;Times;serif"/>
          <w:sz w:val="24"/>
          <w:shd w:fill="FFFFFF" w:val="clear"/>
        </w:rPr>
        <w:b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Important Safety Information</w:t>
      </w:r>
      <w:r>
        <w:rPr>
          <w:rFonts w:ascii="Times New Roman;Times;serif" w:hAnsi="Times New Roman;Times;serif"/>
          <w:sz w:val="24"/>
          <w:shd w:fill="FFFFFF" w:val="clear"/>
        </w:rPr>
        <w:br/>
        <w:t>PEDMARK is contraindicated in patients with history of a severe hypersensitivity to sodium thiosulfate or any of its components.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 xml:space="preserve">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Monitor for signs and symptoms of hypernatremia and hypokalemia more closely if the glomerular filtration rate (GFR) falls below 60 mL/min/1.73m</w:t>
      </w:r>
      <w:r>
        <w:rPr>
          <w:rFonts w:ascii="Times New Roman;Times;serif" w:hAnsi="Times New Roman;Times;serif"/>
          <w:sz w:val="18"/>
          <w:shd w:fill="FFFFFF" w:val="clear"/>
        </w:rPr>
        <w:t>2</w:t>
      </w:r>
      <w:r>
        <w:rPr>
          <w:rFonts w:ascii="Times New Roman;Times;serif" w:hAnsi="Times New Roman;Times;serif"/>
          <w:sz w:val="24"/>
          <w:shd w:fill="FFFFFF" w:val="clear"/>
        </w:rPr>
        <w: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Administer antiemetics prior to each PEDMARK administration. Provide additional antiemetics and supportive care as appropriate.</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Please see full Prescribing Information for PEDMARK</w:t>
      </w:r>
      <w:r>
        <w:rPr>
          <w:rFonts w:ascii="Times New Roman;Times;serif" w:hAnsi="Times New Roman;Times;serif"/>
          <w:sz w:val="18"/>
          <w:shd w:fill="FFFFFF" w:val="clear"/>
        </w:rPr>
        <w:t>®</w:t>
      </w:r>
      <w:r>
        <w:rPr>
          <w:rFonts w:ascii="Times New Roman;Times;serif" w:hAnsi="Times New Roman;Times;serif"/>
          <w:sz w:val="20"/>
          <w:shd w:fill="FFFFFF" w:val="clear"/>
        </w:rPr>
        <w:t> </w:t>
      </w:r>
      <w:r>
        <w:rPr>
          <w:rFonts w:ascii="Times New Roman;Times;serif" w:hAnsi="Times New Roman;Times;serif"/>
          <w:sz w:val="24"/>
          <w:shd w:fill="FFFFFF" w:val="clear"/>
        </w:rPr>
        <w:t>at: www.PEDMARK.com.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Fennec Pharmaceuticals Inc. is a specialty pharmaceutical company committed to the fight against ototoxicity in cancer patients who receive cisplatin-based chemotherapy. Fennec is focused on the commercialization of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rPr>
        <w:t>to reduce the risk of platinum-induced ototoxicity in cancer patients. PEDMARK received FDA approval in September 2022 and European Commission approval in June 2023 and United Kingdom (U.K.) approval in October 2023 under the brand name PEDMARQSI</w:t>
      </w:r>
      <w:r>
        <w:rPr>
          <w:rFonts w:ascii="Times New Roman;Times;serif" w:hAnsi="Times New Roman;Times;serif"/>
          <w:sz w:val="18"/>
          <w:shd w:fill="FFFFFF" w:val="clear"/>
        </w:rPr>
        <w:t>Ò</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In March 2024, Fennec entered into an exclusive licensing agreement under which Norgine Pharmaceuticals Ltd., a leading European specialist pharmaceutical company, will commercialize PEDMARQSI</w:t>
      </w:r>
      <w:r>
        <w:rPr>
          <w:rFonts w:ascii="Times New Roman;Times;serif" w:hAnsi="Times New Roman;Times;serif"/>
          <w:sz w:val="18"/>
        </w:rPr>
        <w:t>®</w:t>
      </w:r>
      <w:r>
        <w:rPr>
          <w:rFonts w:ascii="Times New Roman;Times;serif" w:hAnsi="Times New Roman;Times;serif"/>
          <w:sz w:val="20"/>
        </w:rPr>
        <w:t> </w:t>
      </w:r>
      <w:r>
        <w:rPr>
          <w:rFonts w:ascii="Times New Roman;Times;serif" w:hAnsi="Times New Roman;Times;serif"/>
          <w:sz w:val="24"/>
        </w:rPr>
        <w:t>in Europe, U.K., Australia and New Zealand. PEDMARQSI is now commercially available in multiple countries.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For more information, please visit www.fennecpharma.com</w:t>
      </w:r>
      <w:r>
        <w:rPr>
          <w:rFonts w:ascii="Times New Roman;Times;serif" w:hAnsi="Times New Roman;Times;serif"/>
          <w:sz w:val="20"/>
        </w:rPr>
        <w:t xml:space="preserve"> </w:t>
      </w:r>
      <w:r>
        <w:rPr>
          <w:rFonts w:ascii="Times New Roman;Times;serif" w:hAnsi="Times New Roman;Times;serif"/>
          <w:sz w:val="24"/>
        </w:rPr>
        <w:t xml:space="preserve">and follow on LinkedIn.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Times;serif" w:hAnsi="Times New Roman;Times;serif"/>
          <w:i/>
          <w:sz w:val="18"/>
        </w:rPr>
        <w:t>®</w:t>
      </w:r>
      <w:r>
        <w:rPr>
          <w:rFonts w:ascii="Times New Roman;Times;serif" w:hAnsi="Times New Roman;Times;serif"/>
          <w:i/>
          <w:sz w:val="24"/>
        </w:rPr>
        <w:t>/PEDMARQSI</w:t>
      </w:r>
      <w:r>
        <w:rPr>
          <w:rFonts w:ascii="Times New Roman;Times;serif" w:hAnsi="Times New Roman;Times;serif"/>
          <w:i/>
          <w:sz w:val="18"/>
        </w:rPr>
        <w:t>®</w:t>
      </w:r>
      <w:r>
        <w:rPr>
          <w:rFonts w:ascii="Times New Roman;Times;serif" w:hAnsi="Times New Roman;Times;serif"/>
          <w:i/>
          <w:sz w:val="24"/>
        </w:rPr>
        <w:t>, the market opportunity and demand for and market impact of PEDMARK</w:t>
      </w:r>
      <w:r>
        <w:rPr>
          <w:rFonts w:ascii="Times New Roman;Times;serif" w:hAnsi="Times New Roman;Times;serif"/>
          <w:i/>
          <w:sz w:val="18"/>
        </w:rPr>
        <w:t>®</w:t>
      </w:r>
      <w:r>
        <w:rPr>
          <w:rFonts w:ascii="Times New Roman;Times;serif" w:hAnsi="Times New Roman;Times;serif"/>
          <w:i/>
          <w:sz w:val="24"/>
        </w:rPr>
        <w:t>/ PEDMARQSI</w:t>
      </w:r>
      <w:r>
        <w:rPr>
          <w:rFonts w:ascii="Times New Roman;Times;serif" w:hAnsi="Times New Roman;Times;serif"/>
          <w:i/>
          <w:sz w:val="18"/>
        </w:rPr>
        <w:t>®</w:t>
      </w:r>
      <w:r>
        <w:rPr>
          <w:rFonts w:ascii="Times New Roman;Times;serif" w:hAnsi="Times New Roman;Times;serif"/>
          <w:sz w:val="24"/>
        </w:rPr>
        <w:t xml:space="preserve">, </w:t>
      </w:r>
      <w:r>
        <w:rPr>
          <w:rFonts w:ascii="Times New Roman;Times;serif" w:hAnsi="Times New Roman;Times;serif"/>
          <w:i/>
          <w:sz w:val="24"/>
        </w:rPr>
        <w:t>its potential impact on patients and anticipated benefits associated with its use, future</w:t>
      </w:r>
      <w:r>
        <w:rPr>
          <w:rFonts w:ascii="Times New Roman;Times;serif" w:hAnsi="Times New Roman;Times;serif"/>
          <w:sz w:val="20"/>
        </w:rPr>
        <w:t xml:space="preserve"> </w:t>
      </w:r>
      <w:r>
        <w:rPr>
          <w:rFonts w:ascii="Times New Roman;Times;serif" w:hAnsi="Times New Roman;Times;serif"/>
          <w:i/>
          <w:sz w:val="24"/>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4"/>
        </w:rPr>
        <w:t xml:space="preserve">and potential access to further funding after the date of this release. Forward-looking statements are subject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i/>
          <w:sz w:val="24"/>
        </w:rPr>
      </w:pPr>
      <w:r>
        <w:rPr>
          <w:rFonts w:ascii="Times New Roman;Times;serif" w:hAnsi="Times New Roman;Times;serif"/>
          <w:i/>
          <w:sz w:val="24"/>
        </w:rPr>
        <w:t>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2025. Fennec disclaims any obligation to update these forward-looking statements except as required by law.</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Times New Roman;Times;serif" w:hAnsi="Times New Roman;Times;serif"/>
          <w:i/>
          <w:sz w:val="24"/>
          <w:shd w:fill="FFFFFF" w:val="clear"/>
        </w:rPr>
        <w:t>and www.sedar.com.</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shd w:fill="FFFFFF" w:val="clear"/>
        </w:rPr>
        <w:t>PEDMARK</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rPr>
        <w:t>PEDMARQSI</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shd w:fill="FFFFFF" w:val="clear"/>
        </w:rPr>
        <w:t>and Fennec</w:t>
      </w:r>
      <w:r>
        <w:rPr>
          <w:rFonts w:ascii="Times New Roman;Times;serif" w:hAnsi="Times New Roman;Times;serif"/>
          <w:sz w:val="18"/>
          <w:shd w:fill="FFFFFF" w:val="clear"/>
        </w:rPr>
        <w:t>®</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are registered trademarks of Fennec Pharmaceuticals Inc.</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 xml:space="preserve">©2025 Fennec Pharmaceuticals Inc. All rights reserved.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4"/>
          <w:shd w:fill="FFFFFF" w:val="clear"/>
        </w:rPr>
      </w:pPr>
      <w:r>
        <w:rPr>
          <w:rFonts w:ascii="Times New Roman;Times;serif" w:hAnsi="Times New Roman;Times;serif"/>
          <w:b/>
          <w:sz w:val="24"/>
          <w:shd w:fill="FFFFFF" w:val="clear"/>
        </w:rPr>
        <w:t>For further information, please contact: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Investors:</w:t>
      </w:r>
      <w:r>
        <w:rPr>
          <w:rFonts w:ascii="Times New Roman;Times;serif" w:hAnsi="Times New Roman;Times;serif"/>
          <w:sz w:val="24"/>
          <w:shd w:fill="FFFFFF" w:val="clear"/>
        </w:rPr>
        <w:br/>
      </w:r>
      <w:r>
        <w:rPr>
          <w:rFonts w:ascii="Times New Roman;Times;serif" w:hAnsi="Times New Roman;Times;serif"/>
          <w:sz w:val="24"/>
        </w:rPr>
        <w:t>Robert Andrade</w:t>
        <w:br/>
        <w:t>Chief Financial Officer</w:t>
        <w:br/>
        <w:t>Fennec Pharmaceuticals Inc.</w:t>
        <w:br/>
        <w:t>+1 919-246-5299</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shd w:fill="FFFFFF" w:val="clear"/>
        </w:rPr>
        <w:t>Corporate and Media:</w:t>
      </w:r>
      <w:r>
        <w:rPr>
          <w:rFonts w:ascii="Times New Roman;Times;serif" w:hAnsi="Times New Roman;Times;serif"/>
          <w:sz w:val="24"/>
          <w:shd w:fill="FFFFFF" w:val="clear"/>
        </w:rPr>
        <w:br/>
        <w:t xml:space="preserve">Lindsay Rocco </w:t>
      </w:r>
    </w:p>
    <w:p>
      <w:pPr>
        <w:pStyle w:val="TextBody"/>
        <w:bidi w:val="0"/>
        <w:spacing w:before="0" w:after="0"/>
        <w:ind w:left="0" w:right="0" w:hanging="0"/>
        <w:jc w:val="left"/>
        <w:rPr>
          <w:rFonts w:ascii="Times New Roman;Times;serif" w:hAnsi="Times New Roman;Times;serif"/>
          <w:sz w:val="24"/>
          <w:shd w:fill="FFFFFF" w:val="clear"/>
        </w:rPr>
      </w:pPr>
      <w:r>
        <w:rPr>
          <w:rFonts w:ascii="Times New Roman;Times;serif" w:hAnsi="Times New Roman;Times;serif"/>
          <w:sz w:val="24"/>
          <w:shd w:fill="FFFFFF" w:val="clear"/>
        </w:rPr>
        <w:t>Elixir Health Public Relations</w:t>
        <w:br/>
        <w:t>+1 862-596-1304</w:t>
        <w:br/>
        <w:t>lrocco@elixirhealthpr.com</w:t>
      </w:r>
    </w:p>
    <w:p>
      <w:pPr>
        <w:pStyle w:val="TextBody"/>
        <w:bidi w:val="0"/>
        <w:spacing w:before="0" w:after="0"/>
        <w:ind w:left="0" w:right="0" w:hanging="0"/>
        <w:jc w:val="left"/>
        <w:rPr>
          <w:rFonts w:ascii="Times New Roman;Times;serif" w:hAnsi="Times New Roman;Times;serif"/>
          <w:sz w:val="20"/>
        </w:rPr>
      </w:pPr>
      <w:bookmarkStart w:id="685" w:name="endnote-3"/>
      <w:bookmarkEnd w:id="685"/>
      <w:r>
        <w:rPr>
          <w:rFonts w:ascii="Times New Roman;Times;serif" w:hAnsi="Times New Roman;Times;serif"/>
          <w:sz w:val="15"/>
        </w:rPr>
        <w:t>i</w:t>
      </w:r>
      <w:r>
        <w:rPr>
          <w:rFonts w:ascii="Times New Roman;Times;serif" w:hAnsi="Times New Roman;Times;serif"/>
          <w:sz w:val="20"/>
        </w:rPr>
        <w:t xml:space="preserve"> Sheth S et al. Mechanisms of Cisplatin Ototoxicity and Progress in Otoprotection. </w:t>
      </w:r>
      <w:r>
        <w:rPr>
          <w:rFonts w:ascii="Times New Roman;Times;serif" w:hAnsi="Times New Roman;Times;serif"/>
          <w:i/>
          <w:sz w:val="20"/>
        </w:rPr>
        <w:t>Frontiers in Cellular Neuroscience</w:t>
      </w:r>
      <w:r>
        <w:rPr>
          <w:rFonts w:ascii="Times New Roman;Times;serif" w:hAnsi="Times New Roman;Times;serif"/>
          <w:sz w:val="20"/>
        </w:rPr>
        <w:t>. 2017, Vol. 11.</w:t>
      </w:r>
    </w:p>
    <w:p>
      <w:pPr>
        <w:pStyle w:val="TextBody"/>
        <w:bidi w:val="0"/>
        <w:spacing w:before="0" w:after="0"/>
        <w:ind w:left="0" w:right="0" w:hanging="0"/>
        <w:jc w:val="left"/>
        <w:rPr>
          <w:rFonts w:ascii="Times New Roman;Times;serif" w:hAnsi="Times New Roman;Times;serif"/>
          <w:sz w:val="20"/>
        </w:rPr>
      </w:pPr>
      <w:bookmarkStart w:id="686" w:name="endnote-4"/>
      <w:bookmarkEnd w:id="686"/>
      <w:r>
        <w:rPr>
          <w:rFonts w:ascii="Times New Roman;Times;serif" w:hAnsi="Times New Roman;Times;serif"/>
          <w:sz w:val="15"/>
        </w:rPr>
        <w:t>ii</w:t>
      </w:r>
      <w:r>
        <w:rPr>
          <w:rFonts w:ascii="Times New Roman;Times;serif" w:hAnsi="Times New Roman;Times;serif"/>
          <w:sz w:val="20"/>
        </w:rPr>
        <w:t xml:space="preserve"> Langer T, am Zehnhoff-Dinnesen A, Radtke S, Meitert J, Zolk O. Understanding platinum-induced ototoxicity. </w:t>
      </w:r>
      <w:r>
        <w:rPr>
          <w:rFonts w:ascii="Times New Roman;Times;serif" w:hAnsi="Times New Roman;Times;serif"/>
          <w:i/>
          <w:sz w:val="20"/>
        </w:rPr>
        <w:t>Trends Pharmacol Sci</w:t>
      </w:r>
      <w:r>
        <w:rPr>
          <w:rFonts w:ascii="Times New Roman;Times;serif" w:hAnsi="Times New Roman;Times;serif"/>
          <w:sz w:val="20"/>
        </w:rPr>
        <w:t>. 2013;34(8):458-469</w:t>
      </w:r>
    </w:p>
    <w:p>
      <w:pPr>
        <w:pStyle w:val="TextBody"/>
        <w:bidi w:val="0"/>
        <w:spacing w:before="0" w:after="0"/>
        <w:ind w:left="0" w:right="0" w:hanging="0"/>
        <w:jc w:val="left"/>
        <w:rPr>
          <w:rFonts w:ascii="Times New Roman;Times;serif" w:hAnsi="Times New Roman;Times;serif"/>
          <w:sz w:val="20"/>
        </w:rPr>
      </w:pPr>
      <w:bookmarkStart w:id="687" w:name="endnote-5"/>
      <w:bookmarkEnd w:id="687"/>
      <w:r>
        <w:rPr>
          <w:rFonts w:ascii="Times New Roman;Times;serif" w:hAnsi="Times New Roman;Times;serif"/>
          <w:sz w:val="15"/>
        </w:rPr>
        <w:t>iii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688" w:name="endnote-6"/>
      <w:bookmarkEnd w:id="688"/>
      <w:r>
        <w:rPr>
          <w:rFonts w:ascii="Times New Roman;Times;serif" w:hAnsi="Times New Roman;Times;serif"/>
          <w:sz w:val="15"/>
        </w:rPr>
        <w:t>iv</w:t>
      </w:r>
      <w:r>
        <w:rPr>
          <w:rFonts w:ascii="Times New Roman;Times;serif" w:hAnsi="Times New Roman;Times;serif"/>
          <w:sz w:val="20"/>
        </w:rPr>
        <w:t xml:space="preserve"> 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Times New Roman;Times;serif" w:hAnsi="Times New Roman;Times;serif"/>
          <w:i/>
          <w:sz w:val="20"/>
        </w:rPr>
        <w:t>Lancet Oncol</w:t>
      </w:r>
      <w:r>
        <w:rPr>
          <w:rFonts w:ascii="Times New Roman;Times;serif" w:hAnsi="Times New Roman;Times;serif"/>
          <w:sz w:val="20"/>
        </w:rPr>
        <w:t>. 2019;20(1):e29-e41</w:t>
      </w:r>
    </w:p>
    <w:p>
      <w:pPr>
        <w:pStyle w:val="TextBody"/>
        <w:bidi w:val="0"/>
        <w:spacing w:before="0" w:after="0"/>
        <w:ind w:left="0" w:right="0" w:hanging="0"/>
        <w:jc w:val="left"/>
        <w:rPr>
          <w:rFonts w:ascii="Times New Roman;Times;serif" w:hAnsi="Times New Roman;Times;serif"/>
          <w:sz w:val="20"/>
        </w:rPr>
      </w:pPr>
      <w:bookmarkStart w:id="689" w:name="endnote-7"/>
      <w:bookmarkEnd w:id="689"/>
      <w:r>
        <w:rPr>
          <w:rFonts w:ascii="Times New Roman;Times;serif" w:hAnsi="Times New Roman;Times;serif"/>
          <w:sz w:val="15"/>
        </w:rPr>
        <w:t>v</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w:t>
      </w:r>
      <w:r>
        <w:rPr>
          <w:rFonts w:ascii="Times New Roman;Times;serif" w:hAnsi="Times New Roman;Times;serif"/>
          <w:i/>
          <w:sz w:val="20"/>
        </w:rPr>
        <w:t>Pediatr Blood Cancer</w:t>
      </w:r>
      <w:r>
        <w:rPr>
          <w:rFonts w:ascii="Times New Roman;Times;serif" w:hAnsi="Times New Roman;Times;serif"/>
          <w:sz w:val="20"/>
        </w:rPr>
        <w:t>. 2016;63(7):1152-1162.</w:t>
      </w:r>
    </w:p>
    <w:p>
      <w:pPr>
        <w:pStyle w:val="TextBody"/>
        <w:bidi w:val="0"/>
        <w:spacing w:before="0" w:after="0"/>
        <w:ind w:left="0" w:right="0" w:hanging="0"/>
        <w:jc w:val="left"/>
        <w:rPr>
          <w:rFonts w:ascii="Times New Roman;Times;serif" w:hAnsi="Times New Roman;Times;serif"/>
          <w:sz w:val="20"/>
        </w:rPr>
      </w:pPr>
      <w:bookmarkStart w:id="690" w:name="endnote-8"/>
      <w:bookmarkEnd w:id="690"/>
      <w:r>
        <w:rPr>
          <w:rFonts w:ascii="Times New Roman;Times;serif" w:hAnsi="Times New Roman;Times;serif"/>
          <w:sz w:val="15"/>
        </w:rPr>
        <w:t>vi</w:t>
      </w:r>
      <w:r>
        <w:rPr>
          <w:rFonts w:ascii="Times New Roman;Times;serif" w:hAnsi="Times New Roman;Times;serif"/>
          <w:sz w:val="20"/>
        </w:rPr>
        <w:t xml:space="preserve"> Chattaraj A et al. Cisplatin-Induced Ototoxicity: A Concise Review of the Burden, Prevention, and Interception Strategies. </w:t>
      </w:r>
      <w:r>
        <w:rPr>
          <w:rFonts w:ascii="Times New Roman;Times;serif" w:hAnsi="Times New Roman;Times;serif"/>
          <w:i/>
          <w:sz w:val="20"/>
        </w:rPr>
        <w:t>JCO Oncol Pract</w:t>
      </w:r>
      <w:r>
        <w:rPr>
          <w:rFonts w:ascii="Times New Roman;Times;serif" w:hAnsi="Times New Roman;Times;serif"/>
          <w:sz w:val="20"/>
        </w:rPr>
        <w:t>. 2023;19</w:t>
      </w:r>
    </w:p>
    <w:p>
      <w:pPr>
        <w:pStyle w:val="TextBody"/>
        <w:bidi w:val="0"/>
        <w:spacing w:before="0" w:after="0"/>
        <w:ind w:left="0" w:right="0" w:hanging="0"/>
        <w:jc w:val="left"/>
        <w:rPr>
          <w:rFonts w:ascii="Times New Roman;Times;serif" w:hAnsi="Times New Roman;Times;serif"/>
          <w:sz w:val="20"/>
        </w:rPr>
      </w:pPr>
      <w:bookmarkStart w:id="691" w:name="endnote-9"/>
      <w:bookmarkEnd w:id="691"/>
      <w:r>
        <w:rPr>
          <w:rFonts w:ascii="Times New Roman;Times;serif" w:hAnsi="Times New Roman;Times;serif"/>
          <w:sz w:val="15"/>
        </w:rPr>
        <w:t>vii</w:t>
      </w:r>
      <w:r>
        <w:rPr>
          <w:rFonts w:ascii="Times New Roman;Times;serif" w:hAnsi="Times New Roman;Times;serif"/>
          <w:sz w:val="20"/>
        </w:rPr>
        <w:t xml:space="preserve"> Freyer DR et al. Effects of sodium thiosulfate versus observation on development of cisplatin-induced hearing loss in children with cancer (ACCL0431): a multicentre, randomised, controlled, open-label, phase 3 trial. </w:t>
      </w:r>
      <w:r>
        <w:rPr>
          <w:rFonts w:ascii="Times New Roman;Times;serif" w:hAnsi="Times New Roman;Times;serif"/>
          <w:i/>
          <w:sz w:val="20"/>
        </w:rPr>
        <w:t>Lancet Oncol</w:t>
      </w:r>
      <w:r>
        <w:rPr>
          <w:rFonts w:ascii="Times New Roman;Times;serif" w:hAnsi="Times New Roman;Times;serif"/>
          <w:sz w:val="20"/>
        </w:rPr>
        <w:t>. 2017;18(1):63-74.</w:t>
      </w:r>
    </w:p>
    <w:p>
      <w:pPr>
        <w:pStyle w:val="TextBody"/>
        <w:bidi w:val="0"/>
        <w:spacing w:before="0" w:after="0"/>
        <w:ind w:left="0" w:right="0" w:hanging="0"/>
        <w:jc w:val="left"/>
        <w:rPr>
          <w:rFonts w:ascii="Times New Roman;Times;serif" w:hAnsi="Times New Roman;Times;serif"/>
          <w:sz w:val="20"/>
        </w:rPr>
      </w:pPr>
      <w:bookmarkStart w:id="692" w:name="endnote-10"/>
      <w:bookmarkEnd w:id="692"/>
      <w:r>
        <w:rPr>
          <w:rFonts w:ascii="Times New Roman;Times;serif" w:hAnsi="Times New Roman;Times;serif"/>
          <w:sz w:val="15"/>
        </w:rPr>
        <w:t>viii</w:t>
      </w:r>
      <w:r>
        <w:rPr>
          <w:rFonts w:ascii="Times New Roman;Times;serif" w:hAnsi="Times New Roman;Times;serif"/>
          <w:sz w:val="20"/>
        </w:rPr>
        <w:t xml:space="preserve"> Rajput K, Edwards L, Brock P, Abiodun A, Simpkin P, Al-Malky G. Ototoxicity-induced hearing loss and quality of life in survivors of paediatric cancer</w:t>
      </w:r>
      <w:r>
        <w:rPr>
          <w:rFonts w:ascii="Times New Roman;Times;serif" w:hAnsi="Times New Roman;Times;serif"/>
          <w:i/>
          <w:sz w:val="20"/>
        </w:rPr>
        <w:t>. Int J Pediatr Otorhinolaryngol</w:t>
      </w:r>
      <w:r>
        <w:rPr>
          <w:rFonts w:ascii="Times New Roman;Times;serif" w:hAnsi="Times New Roman;Times;serif"/>
          <w:sz w:val="20"/>
        </w:rPr>
        <w:t>. 2020;138:110401. doi:10.1016/j.ijporl.2020.110401</w:t>
      </w:r>
    </w:p>
    <w:p>
      <w:pPr>
        <w:pStyle w:val="TextBody"/>
        <w:bidi w:val="0"/>
        <w:spacing w:before="0" w:after="0"/>
        <w:ind w:left="0" w:right="0" w:hanging="0"/>
        <w:jc w:val="left"/>
        <w:rPr>
          <w:rFonts w:ascii="Times New Roman;Times;serif" w:hAnsi="Times New Roman;Times;serif"/>
          <w:sz w:val="20"/>
        </w:rPr>
      </w:pPr>
      <w:bookmarkStart w:id="693" w:name="endnote-11"/>
      <w:bookmarkEnd w:id="693"/>
      <w:r>
        <w:rPr>
          <w:rFonts w:ascii="Times New Roman;Times;serif" w:hAnsi="Times New Roman;Times;serif"/>
          <w:sz w:val="15"/>
        </w:rPr>
        <w:t>ix</w:t>
      </w:r>
      <w:r>
        <w:rPr>
          <w:rFonts w:ascii="Times New Roman;Times;serif" w:hAnsi="Times New Roman;Times;serif"/>
          <w:sz w:val="20"/>
        </w:rPr>
        <w:t xml:space="preserve"> Bass JK, Knight KR, Yock TI, Chang KW, Cipkala D, Grewal SS. Evaluation and management of hearing loss in survivors of childhood and adolescent cancers: a report from the children’s oncology group. Pediatr Blood Cancer. 2016;63(7):1152-1162.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weight:bold"/>
    <w:charset w:val="01"/>
    <w:family w:val="auto"/>
    <w:pitch w:val="default"/>
  </w:font>
  <w:font w:name="Times New Roman">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11583/000110465926050339/fencf-20260610xdef14a.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20181</Words>
  <Characters>114876</Characters>
  <CharactersWithSpaces>136403</CharactersWithSpaces>
  <Paragraphs>3811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