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611505</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4960" w:type="dxa"/>
            <w:vAlign w:val="bottom"/>
          </w:tcPr>
          <w:p>
            <w:pPr>
              <w:jc w:val="right"/>
              <w:ind w:right="3450"/>
              <w:spacing w:after="0"/>
              <w:rPr>
                <w:sz w:val="20"/>
                <w:szCs w:val="20"/>
                <w:color w:val="auto"/>
              </w:rPr>
            </w:pPr>
            <w:r>
              <w:rPr>
                <w:rFonts w:ascii="Times New Roman" w:cs="Times New Roman" w:eastAsia="Times New Roman" w:hAnsi="Times New Roman"/>
                <w:sz w:val="18"/>
                <w:szCs w:val="18"/>
                <w:b w:val="1"/>
                <w:bCs w:val="1"/>
                <w:color w:val="auto"/>
              </w:rPr>
              <w:t>001-32295</w:t>
            </w:r>
          </w:p>
        </w:tc>
      </w:tr>
      <w:tr>
        <w:trPr>
          <w:trHeight w:val="234"/>
        </w:trPr>
        <w:tc>
          <w:tcPr>
            <w:tcW w:w="3080" w:type="dxa"/>
            <w:vAlign w:val="bottom"/>
          </w:tcPr>
          <w:p>
            <w:pPr>
              <w:spacing w:after="0"/>
              <w:rPr>
                <w:sz w:val="20"/>
                <w:szCs w:val="20"/>
                <w:color w:val="auto"/>
              </w:rPr>
            </w:pPr>
          </w:p>
        </w:tc>
        <w:tc>
          <w:tcPr>
            <w:tcW w:w="4960" w:type="dxa"/>
            <w:vAlign w:val="bottom"/>
          </w:tcPr>
          <w:p>
            <w:pPr>
              <w:jc w:val="center"/>
              <w:ind w:right="2830"/>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441"/>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9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20-0442384</w:t>
            </w: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96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960" w:type="dxa"/>
            <w:vAlign w:val="bottom"/>
          </w:tcPr>
          <w:p>
            <w:pPr>
              <w:spacing w:after="0"/>
              <w:rPr>
                <w:sz w:val="20"/>
                <w:szCs w:val="20"/>
                <w:color w:val="auto"/>
              </w:rPr>
            </w:pPr>
          </w:p>
        </w:tc>
      </w:tr>
      <w:tr>
        <w:trPr>
          <w:trHeight w:val="855"/>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 Box 13628, 68 TW Alexander Drive,</w:t>
            </w:r>
          </w:p>
        </w:tc>
        <w:tc>
          <w:tcPr>
            <w:tcW w:w="4960" w:type="dxa"/>
            <w:vAlign w:val="bottom"/>
          </w:tcPr>
          <w:p>
            <w:pPr>
              <w:spacing w:after="0"/>
              <w:rPr>
                <w:sz w:val="24"/>
                <w:szCs w:val="24"/>
                <w:color w:val="auto"/>
              </w:rPr>
            </w:pPr>
          </w:p>
        </w:tc>
      </w:tr>
      <w:tr>
        <w:trPr>
          <w:trHeight w:val="23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Research Triangle Park, NC</w:t>
            </w:r>
          </w:p>
        </w:tc>
        <w:tc>
          <w:tcPr>
            <w:tcW w:w="49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234"/>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96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919) 636-4530</w:t>
      </w:r>
    </w:p>
    <w:p>
      <w:pPr>
        <w:spacing w:after="0" w:line="22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4"/>
          <w:szCs w:val="24"/>
          <w:color w:val="auto"/>
        </w:rPr>
      </w:pPr>
    </w:p>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sz w:val="24"/>
          <w:szCs w:val="24"/>
          <w:color w:val="auto"/>
        </w:rPr>
      </w:pPr>
    </w:p>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486"/>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FENC</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8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1157" w:right="99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5.02.</w:t>
        <w:tab/>
        <w:t>Compensatory Arrangements of Certain Officers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11, 2026, the Compensation Committee of the Board of Directors of Fennec Pharmaceuticals Inc. approved grants of stock options to purchase an aggregate of 50,000 common shares to three new employees under the Company’s 2026 Equity Inducement Plan, with a grant date of May 18, 2026, as inducement awards pursuant to Nasdaq Listing Rule 5635(c)(4).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options have an exercise price of $9.75 per share, a ten-year term and vest over three years, with one-third vesting on the first anniversary of the grant date and the balance vesting monthly over the following 24 months, subject to continued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8.01, including Exhibit 99.1 attached hereto, shall not be deemed “filed” for purposes of Section 18 of the Securities Exchange Act of 1934, as amended, nor incorporated by reference into any filing under the Securities Act of 1933, as amended, except as expressly set forth by specific reference in such filing.</w:t>
      </w:r>
    </w:p>
    <w:p>
      <w:pPr>
        <w:spacing w:after="0" w:line="200" w:lineRule="exact"/>
        <w:rPr>
          <w:sz w:val="20"/>
          <w:szCs w:val="20"/>
          <w:color w:val="auto"/>
        </w:rPr>
      </w:pPr>
    </w:p>
    <w:p>
      <w:pPr>
        <w:spacing w:after="0" w:line="21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9" w:lineRule="exact"/>
        <w:rPr>
          <w:sz w:val="20"/>
          <w:szCs w:val="20"/>
          <w:color w:val="auto"/>
        </w:rPr>
      </w:pPr>
    </w:p>
    <w:p>
      <w:pPr>
        <w:ind w:left="1020" w:hanging="971"/>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33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May 18, 2026</w:t>
      </w:r>
    </w:p>
    <w:p>
      <w:pPr>
        <w:spacing w:after="0" w:line="9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104</w:t>
        <w:tab/>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788670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576" w:right="9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FENNEC PHARMACEUTICALS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4760" w:val="left"/>
          <w:tab w:leader="none" w:pos="524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w:t>
        <w:tab/>
        <w:t>/s/ Robert Andrade</w:t>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-127635</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1043305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7"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12065</wp:posOffset>
            </wp:positionV>
            <wp:extent cx="112268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FENNEC PHARMACEUTICALS ANNOUNCES INDUCEMENT GRANTS UNDER NASDAQ LISTING RULE 5635(c)(4)</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Research Triangle Park, NC, May 18, 2026 – </w:t>
      </w:r>
      <w:r>
        <w:rPr>
          <w:rFonts w:ascii="Times New Roman" w:cs="Times New Roman" w:eastAsia="Times New Roman" w:hAnsi="Times New Roman"/>
          <w:sz w:val="22"/>
          <w:szCs w:val="22"/>
          <w:color w:val="auto"/>
        </w:rPr>
        <w:t>Fennec Pharmaceuticals Inc. (NASDAQ:FENC) (TSX:FRX)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(“Fennec” or the “Company”), a specialty pharmaceutical company, today announced that on May 11, 2026, the Compensation Committee of the Company’s Board of Directors approved the grant of stock option awards (“Stock Options”) to purchase an aggregate of 50,000 of the Company’s common shares to three new non-executive employees of the Company with a grant date of May 18, 2026 under the Company’s 2026 Equity Inducement Plan (the “Inducement Plan”). The Stock Options consist of incentive stock options to purchase an aggregate of 49,141 shares and nonqualified stock options to purchase an aggregate of 859 shares. The Stock Options were granted as inducements material to the employees entering into employment with the Company in accordance with Nasdaq Listing Rule 5635(c)(4).</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Inducement Plan is used exclusively for the grant of equity awards to individuals who were not previously employees of the Company, or following a bona fide period of non-employment, as an inducement material to such individuals’ entering into employment with the Company, pursuant to Nasdaq Listing Rule 5635(c)(4).</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Stock Options have an exercise price of $9.75 per share, which is equal to the closing price of the Company’s common shares on The Nasdaq Capital Market on March 15, 2026, and a term of ten years from the date of grant. One-third of the shares underlying each Stock Option vest on the one-year anniversary of the grant date and continue to vest monthly thereafter over 24 months, subject to each employee’s continued employment with Company as of each such vesting date. The Stock Options are subject to the terms and conditions of the Inducement Plan and the terms and conditions of a Stock Option agreement covering the grant.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Fennec Pharmaceuticals</w:t>
      </w:r>
    </w:p>
    <w:p>
      <w:pPr>
        <w:spacing w:after="0" w:line="10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Fennec Pharmaceuticals Inc. is a specialty pharmaceutical company committed to the fight against ototoxicity in cancer patients who receive cisplatin-based chemotherapy. Fennec is focused on the commercialization of PEDMARK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to reduce the risk of platinum-induced ototoxicity in cancer patients. PEDMARK</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received FDA approval in September 2022 and European Commission approval in June 2023 and United Kingdom (U.K.) approval in October 2023 under the brand name PEDMARQSI</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In March 2024, Fennec entered into an exclusive licensing agreement under which Norgine Pharmaceuticals Ltd., a leading European specialist pharmaceutical company, will commercialize PEDMARQSI</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in Europe, U.K., Australia and New Zealand. PEDMARQSI</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is now commercially available in the U.K. and Germany.</w:t>
      </w:r>
    </w:p>
    <w:p>
      <w:pPr>
        <w:spacing w:after="0" w:line="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PEDMARK</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has received Orphan Drug Exclusivity in the U.S. and PEDMARQSI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1"/>
          <w:szCs w:val="21"/>
          <w:color w:val="auto"/>
        </w:rPr>
        <w:t xml:space="preserve"> has received Pediatric Use Marketing Authorization in Europe which includes eight years plus two years of data and market protection.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www.fennecpharma.com and follow on LinkedIn.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the Company’s business strategy, timeline and other goals, plans and prospects, including the Company’s commercialization plans respecting PEDMARK</w:t>
      </w:r>
      <w:r>
        <w:rPr>
          <w:rFonts w:ascii="Times New Roman" w:cs="Times New Roman" w:eastAsia="Times New Roman" w:hAnsi="Times New Roman"/>
          <w:sz w:val="31"/>
          <w:szCs w:val="31"/>
          <w:i w:val="1"/>
          <w:iCs w:val="1"/>
          <w:color w:val="auto"/>
          <w:vertAlign w:val="superscript"/>
        </w:rPr>
        <w:t>®</w:t>
      </w:r>
      <w:r>
        <w:rPr>
          <w:rFonts w:ascii="Times New Roman" w:cs="Times New Roman" w:eastAsia="Times New Roman" w:hAnsi="Times New Roman"/>
          <w:sz w:val="21"/>
          <w:szCs w:val="21"/>
          <w:i w:val="1"/>
          <w:iCs w:val="1"/>
          <w:color w:val="auto"/>
        </w:rPr>
        <w:t>/PEDMARQSI</w:t>
      </w:r>
      <w:r>
        <w:rPr>
          <w:rFonts w:ascii="Times New Roman" w:cs="Times New Roman" w:eastAsia="Times New Roman" w:hAnsi="Times New Roman"/>
          <w:sz w:val="31"/>
          <w:szCs w:val="31"/>
          <w:i w:val="1"/>
          <w:iCs w:val="1"/>
          <w:color w:val="auto"/>
          <w:vertAlign w:val="superscript"/>
        </w:rPr>
        <w:t>®</w:t>
      </w:r>
      <w:r>
        <w:rPr>
          <w:rFonts w:ascii="Times New Roman" w:cs="Times New Roman" w:eastAsia="Times New Roman" w:hAnsi="Times New Roman"/>
          <w:sz w:val="21"/>
          <w:szCs w:val="21"/>
          <w:i w:val="1"/>
          <w:iCs w:val="1"/>
          <w:color w:val="auto"/>
        </w:rPr>
        <w:t>, the market opportunity for and market impact of PEDMARK</w:t>
      </w:r>
      <w:r>
        <w:rPr>
          <w:rFonts w:ascii="Times New Roman" w:cs="Times New Roman" w:eastAsia="Times New Roman" w:hAnsi="Times New Roman"/>
          <w:sz w:val="31"/>
          <w:szCs w:val="31"/>
          <w:i w:val="1"/>
          <w:iCs w:val="1"/>
          <w:color w:val="auto"/>
          <w:vertAlign w:val="superscript"/>
        </w:rPr>
        <w:t>®</w:t>
      </w:r>
      <w:r>
        <w:rPr>
          <w:rFonts w:ascii="Times New Roman" w:cs="Times New Roman" w:eastAsia="Times New Roman" w:hAnsi="Times New Roman"/>
          <w:sz w:val="21"/>
          <w:szCs w:val="21"/>
          <w:i w:val="1"/>
          <w:iCs w:val="1"/>
          <w:color w:val="auto"/>
        </w:rPr>
        <w:t>/ PEDMARQSI</w:t>
      </w:r>
      <w:r>
        <w:rPr>
          <w:rFonts w:ascii="Times New Roman" w:cs="Times New Roman" w:eastAsia="Times New Roman" w:hAnsi="Times New Roman"/>
          <w:sz w:val="31"/>
          <w:szCs w:val="31"/>
          <w:i w:val="1"/>
          <w:iCs w:val="1"/>
          <w:color w:val="auto"/>
          <w:vertAlign w:val="superscript"/>
        </w:rPr>
        <w:t>®</w:t>
      </w:r>
      <w:r>
        <w:rPr>
          <w:rFonts w:ascii="Times New Roman" w:cs="Times New Roman" w:eastAsia="Times New Roman" w:hAnsi="Times New Roman"/>
          <w:sz w:val="21"/>
          <w:szCs w:val="21"/>
          <w:i w:val="1"/>
          <w:iCs w:val="1"/>
          <w:color w:val="auto"/>
        </w:rPr>
        <w:t>, its potential impact on patients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238760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21"/>
          <w:szCs w:val="21"/>
          <w:i w:val="1"/>
          <w:iCs w:val="1"/>
          <w:color w:val="auto"/>
        </w:rPr>
        <w:t>anticipated benefits associated with its use, future commercial and regulatory milestone and royalty payments from Norgine, 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the Company’s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2025. Fennec disclaims any obligation to update these forward-looking statements except as required by law.</w:t>
      </w:r>
    </w:p>
    <w:p>
      <w:pPr>
        <w:spacing w:after="0" w:line="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For a more detailed discussion of related risk factors, please refer to the Company’s public filings available at www.sec.gov and www.sedar.com.</w:t>
      </w:r>
    </w:p>
    <w:p>
      <w:pPr>
        <w:spacing w:after="0" w:line="32" w:lineRule="exact"/>
        <w:rPr>
          <w:sz w:val="20"/>
          <w:szCs w:val="20"/>
          <w:color w:val="auto"/>
        </w:rPr>
      </w:pPr>
    </w:p>
    <w:p>
      <w:pPr>
        <w:ind w:right="1080"/>
        <w:spacing w:after="0" w:line="251" w:lineRule="auto"/>
        <w:rPr>
          <w:sz w:val="20"/>
          <w:szCs w:val="20"/>
          <w:color w:val="auto"/>
        </w:rPr>
      </w:pPr>
      <w:r>
        <w:rPr>
          <w:rFonts w:ascii="Times New Roman" w:cs="Times New Roman" w:eastAsia="Times New Roman" w:hAnsi="Times New Roman"/>
          <w:sz w:val="22"/>
          <w:szCs w:val="22"/>
          <w:color w:val="auto"/>
        </w:rPr>
        <w:t>PEDMARK</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PEDMARQSI</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and Fennec</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are registered trademarks of Fennec Pharmaceuticals Inc. ©2025 Fennec Pharmaceuticals Inc. All rights reserved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please contact: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Andrade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Fennec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+1 919-246-5299</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and 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Lindsay Rocco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Elixir Health Public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+1 862-596-1304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lrocco@elixirhealthpr.com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2026-05-18T16:13:08Z</dcterms:created>
  <dcterms:modified xsi:type="dcterms:W3CDTF">2026-05-18T16:13:08Z</dcterms:modified>
</cp:coreProperties>
</file>