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550d1_8k.htm"/>
      <w:bookmarkStart w:id="1" w:name="kstm261755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SECURITIES AND EXCHANGE COMMISSION</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F_edei--DocumentType_c2026061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June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8"/>
        </w:rPr>
        <w:t>FENNEC PHARMACEUTICALS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0_edei--EntityFileNumber_c20260610"/>
      <w:bookmarkEnd w:id="5"/>
      <w:r>
        <w:rPr>
          <w:rFonts w:ascii="Times New Roman;Times;Serif" w:hAnsi="Times New Roman;Times;Serif"/>
          <w:b/>
          <w:i w:val="false"/>
          <w:caps w:val="false"/>
          <w:smallCaps w:val="false"/>
          <w:sz w:val="20"/>
        </w:rPr>
        <w:t>001-32295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375"/>
        <w:gridCol w:w="60"/>
        <w:gridCol w:w="2915"/>
      </w:tblGrid>
      <w:tr>
        <w:trPr/>
        <w:tc>
          <w:tcPr>
            <w:tcW w:w="2375" w:type="dxa"/>
            <w:tcBorders/>
            <w:vAlign w:val="center"/>
          </w:tcPr>
          <w:p>
            <w:pPr>
              <w:pStyle w:val="TableContents"/>
              <w:bidi w:val="0"/>
              <w:spacing w:before="0" w:after="283"/>
              <w:jc w:val="center"/>
              <w:rPr>
                <w:b/>
                <w:sz w:val="20"/>
              </w:rPr>
            </w:pPr>
            <w:bookmarkStart w:id="6" w:name="xdx_90C_edei--EntityIncorporationStateCo"/>
            <w:bookmarkEnd w:id="6"/>
            <w:r>
              <w:rPr>
                <w:b/>
                <w:sz w:val="20"/>
              </w:rPr>
              <w:t>British Columbia, Canada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20"/>
              </w:rPr>
            </w:pPr>
            <w:bookmarkStart w:id="7" w:name="xdx_906_edei--EntityTaxIdentificationNum"/>
            <w:bookmarkEnd w:id="7"/>
            <w:r>
              <w:rPr>
                <w:b/>
                <w:sz w:val="20"/>
              </w:rPr>
              <w:t>20-0442384</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440"/>
        <w:gridCol w:w="60"/>
        <w:gridCol w:w="920"/>
      </w:tblGrid>
      <w:tr>
        <w:trPr/>
        <w:tc>
          <w:tcPr>
            <w:tcW w:w="34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PO Box 13628, </w:t>
            </w:r>
            <w:bookmarkStart w:id="9" w:name="xdx_90F_edei--EntityAddressAddressLine2_"/>
            <w:bookmarkEnd w:id="9"/>
            <w:r>
              <w:rPr>
                <w:rFonts w:ascii="Times New Roman;Times;Serif" w:hAnsi="Times New Roman;Times;Serif"/>
                <w:b/>
                <w:i w:val="false"/>
                <w:caps w:val="false"/>
                <w:smallCaps w:val="false"/>
                <w:sz w:val="20"/>
              </w:rPr>
              <w:t>68 TW Alexander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Research Triangle Park, </w:t>
            </w:r>
            <w:bookmarkStart w:id="11" w:name="xdx_905_edei--EntityAddressStateOrProvin"/>
            <w:bookmarkEnd w:id="11"/>
            <w:r>
              <w:rPr>
                <w:rFonts w:ascii="Times New Roman;Times;Serif" w:hAnsi="Times New Roman;Times;Serif"/>
                <w:b/>
                <w:i w:val="false"/>
                <w:caps w:val="false"/>
                <w:smallCaps w:val="false"/>
                <w:sz w:val="20"/>
              </w:rPr>
              <w:t>NC</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27709</w:t>
            </w:r>
          </w:p>
        </w:tc>
      </w:tr>
      <w:tr>
        <w:trPr/>
        <w:tc>
          <w:tcPr>
            <w:tcW w:w="3440"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3" w:name="xdx_902_edei--CityAreaCode_c20260610__20"/>
      <w:bookmarkEnd w:id="13"/>
      <w:r>
        <w:rPr>
          <w:rFonts w:ascii="Times New Roman;Times;Serif" w:hAnsi="Times New Roman;Times;Serif"/>
          <w:b/>
          <w:i w:val="false"/>
          <w:caps w:val="false"/>
          <w:smallCaps w:val="false"/>
          <w:sz w:val="20"/>
        </w:rPr>
        <w:t xml:space="preserve">919) </w:t>
      </w:r>
      <w:bookmarkStart w:id="14" w:name="xdx_90B_edei--LocalPhoneNumber_c20260610"/>
      <w:bookmarkEnd w:id="14"/>
      <w:r>
        <w:rPr>
          <w:rFonts w:ascii="Times New Roman;Times;Serif" w:hAnsi="Times New Roman;Times;Serif"/>
          <w:b/>
          <w:i w:val="false"/>
          <w:caps w:val="false"/>
          <w:smallCaps w:val="false"/>
          <w:sz w:val="20"/>
        </w:rPr>
        <w:t>636-4530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6"/>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4" w:right="1122"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 of the Act:</w:t>
      </w:r>
    </w:p>
    <w:p>
      <w:pPr>
        <w:pStyle w:val="TextBody"/>
        <w:bidi w:val="0"/>
        <w:spacing w:before="0" w:after="0"/>
        <w:ind w:left="0" w:right="0" w:firstLine="360"/>
        <w:jc w:val="left"/>
        <w:rPr>
          <w:caps w:val="false"/>
          <w:smallCaps w:val="false"/>
        </w:rPr>
      </w:pPr>
      <w:r>
        <w:rPr>
          <w:caps w:val="false"/>
          <w:smallCaps w:val="false"/>
        </w:rPr>
        <w:t> </w:t>
      </w:r>
    </w:p>
    <w:tbl>
      <w:tblPr>
        <w:tblW w:w="6795" w:type="dxa"/>
        <w:jc w:val="left"/>
        <w:tblInd w:w="-10" w:type="dxa"/>
        <w:tblLayout w:type="fixed"/>
        <w:tblCellMar>
          <w:top w:w="28" w:type="dxa"/>
          <w:left w:w="28" w:type="dxa"/>
          <w:bottom w:w="28" w:type="dxa"/>
          <w:right w:w="0" w:type="dxa"/>
        </w:tblCellMar>
      </w:tblPr>
      <w:tblGrid>
        <w:gridCol w:w="1730"/>
        <w:gridCol w:w="1760"/>
        <w:gridCol w:w="3305"/>
      </w:tblGrid>
      <w:tr>
        <w:trPr/>
        <w:tc>
          <w:tcPr>
            <w:tcW w:w="173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Title of each class</w:t>
            </w:r>
          </w:p>
        </w:tc>
        <w:tc>
          <w:tcPr>
            <w:tcW w:w="17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t>Trading symbol(s)</w:t>
            </w:r>
          </w:p>
        </w:tc>
        <w:tc>
          <w:tcPr>
            <w:tcW w:w="330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pPr>
            <w:r>
              <w:rPr/>
              <w:t>Name of each exchange on which </w:t>
              <w:br/>
              <w:t>registered</w:t>
            </w:r>
          </w:p>
        </w:tc>
      </w:tr>
      <w:tr>
        <w:trPr/>
        <w:tc>
          <w:tcPr>
            <w:tcW w:w="1730"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20" w:name="xdx_908_edei--Security12bTitle_c20260610"/>
            <w:bookmarkEnd w:id="20"/>
            <w:r>
              <w:rPr/>
              <w:t>Common</w:t>
            </w:r>
          </w:p>
        </w:tc>
        <w:tc>
          <w:tcPr>
            <w:tcW w:w="1760"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21" w:name="xdx_902_edei--TradingSymbol_c20260610__2"/>
            <w:bookmarkEnd w:id="21"/>
            <w:r>
              <w:rPr/>
              <w:t>FENC, FRX</w:t>
            </w:r>
          </w:p>
        </w:tc>
        <w:tc>
          <w:tcPr>
            <w:tcW w:w="330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bookmarkStart w:id="22" w:name="xdx_905_edei--SecurityExchangeName_c2026"/>
            <w:bookmarkEnd w:id="22"/>
            <w:r>
              <w:rPr/>
              <w:t>Nasdaq, TSX</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Fennec Pharmaceuticals Inc. (the “Company”) held an annual meeting of shareholders (the “Meeting”). The shareholders approved all proposals considered at the Meeting and approved all nominees of the Company for director,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following five (5) nominees were elected to serve as directors, each to serve until the next annual meeting of shareholders of the Company or until their respective successor shall have been duly elected or duly approved:</w:t>
      </w:r>
    </w:p>
    <w:p>
      <w:pPr>
        <w:pStyle w:val="TextBody"/>
        <w:bidi w:val="0"/>
        <w:spacing w:before="0" w:after="0"/>
        <w:ind w:left="72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1790"/>
        <w:gridCol w:w="1100"/>
        <w:gridCol w:w="1505"/>
        <w:gridCol w:w="1805"/>
      </w:tblGrid>
      <w:tr>
        <w:trPr/>
        <w:tc>
          <w:tcPr>
            <w:tcW w:w="1790" w:type="dxa"/>
            <w:tcBorders/>
            <w:vAlign w:val="center"/>
          </w:tcPr>
          <w:p>
            <w:pPr>
              <w:pStyle w:val="TableContents"/>
              <w:bidi w:val="0"/>
              <w:spacing w:before="0" w:after="283"/>
              <w:jc w:val="both"/>
              <w:rPr>
                <w:u w:val="single"/>
              </w:rPr>
            </w:pPr>
            <w:r>
              <w:rPr>
                <w:u w:val="single"/>
              </w:rPr>
              <w:t>Name of Nominee</w:t>
            </w:r>
          </w:p>
        </w:tc>
        <w:tc>
          <w:tcPr>
            <w:tcW w:w="1100" w:type="dxa"/>
            <w:tcBorders/>
            <w:vAlign w:val="center"/>
          </w:tcPr>
          <w:p>
            <w:pPr>
              <w:pStyle w:val="TableContents"/>
              <w:bidi w:val="0"/>
              <w:spacing w:before="0" w:after="283"/>
              <w:jc w:val="center"/>
              <w:rPr>
                <w:u w:val="single"/>
              </w:rPr>
            </w:pPr>
            <w:r>
              <w:rPr>
                <w:u w:val="single"/>
              </w:rPr>
              <w:t>Votes For</w:t>
            </w:r>
          </w:p>
        </w:tc>
        <w:tc>
          <w:tcPr>
            <w:tcW w:w="1505" w:type="dxa"/>
            <w:tcBorders/>
            <w:vAlign w:val="center"/>
          </w:tcPr>
          <w:p>
            <w:pPr>
              <w:pStyle w:val="TableContents"/>
              <w:bidi w:val="0"/>
              <w:spacing w:before="0" w:after="283"/>
              <w:jc w:val="center"/>
              <w:rPr>
                <w:u w:val="single"/>
              </w:rPr>
            </w:pPr>
            <w:r>
              <w:rPr>
                <w:u w:val="single"/>
              </w:rPr>
              <w:t>Votes Withheld</w:t>
            </w:r>
          </w:p>
        </w:tc>
        <w:tc>
          <w:tcPr>
            <w:tcW w:w="1805" w:type="dxa"/>
            <w:tcBorders/>
            <w:vAlign w:val="center"/>
          </w:tcPr>
          <w:p>
            <w:pPr>
              <w:pStyle w:val="TableContents"/>
              <w:bidi w:val="0"/>
              <w:spacing w:before="0" w:after="283"/>
              <w:jc w:val="center"/>
              <w:rPr>
                <w:u w:val="single"/>
              </w:rPr>
            </w:pPr>
            <w:r>
              <w:rPr>
                <w:u w:val="single"/>
              </w:rPr>
              <w:t>Broker Non-Votes</w:t>
            </w:r>
          </w:p>
        </w:tc>
      </w:tr>
      <w:tr>
        <w:trPr/>
        <w:tc>
          <w:tcPr>
            <w:tcW w:w="1790" w:type="dxa"/>
            <w:tcBorders/>
            <w:shd w:fill="CCEEFF" w:val="clear"/>
            <w:vAlign w:val="center"/>
          </w:tcPr>
          <w:p>
            <w:pPr>
              <w:pStyle w:val="TableContents"/>
              <w:bidi w:val="0"/>
              <w:spacing w:before="0" w:after="283"/>
              <w:jc w:val="both"/>
              <w:rPr/>
            </w:pPr>
            <w:r>
              <w:rPr/>
              <w:t>Dr. Khalid Islam</w:t>
            </w:r>
          </w:p>
        </w:tc>
        <w:tc>
          <w:tcPr>
            <w:tcW w:w="1100" w:type="dxa"/>
            <w:tcBorders/>
            <w:shd w:fill="CCEEFF" w:val="clear"/>
            <w:vAlign w:val="center"/>
          </w:tcPr>
          <w:p>
            <w:pPr>
              <w:pStyle w:val="TableContents"/>
              <w:bidi w:val="0"/>
              <w:spacing w:before="0" w:after="283"/>
              <w:jc w:val="center"/>
              <w:rPr/>
            </w:pPr>
            <w:r>
              <w:rPr/>
              <w:t>20,246,596</w:t>
            </w:r>
          </w:p>
        </w:tc>
        <w:tc>
          <w:tcPr>
            <w:tcW w:w="1505" w:type="dxa"/>
            <w:tcBorders/>
            <w:shd w:fill="CCEEFF" w:val="clear"/>
            <w:vAlign w:val="center"/>
          </w:tcPr>
          <w:p>
            <w:pPr>
              <w:pStyle w:val="TableContents"/>
              <w:bidi w:val="0"/>
              <w:spacing w:before="0" w:after="283"/>
              <w:jc w:val="center"/>
              <w:rPr/>
            </w:pPr>
            <w:r>
              <w:rPr/>
              <w:t>126,891</w:t>
            </w:r>
          </w:p>
        </w:tc>
        <w:tc>
          <w:tcPr>
            <w:tcW w:w="1805" w:type="dxa"/>
            <w:tcBorders/>
            <w:shd w:fill="CCEEFF" w:val="clear"/>
            <w:vAlign w:val="center"/>
          </w:tcPr>
          <w:p>
            <w:pPr>
              <w:pStyle w:val="TableContents"/>
              <w:bidi w:val="0"/>
              <w:spacing w:before="0" w:after="283"/>
              <w:jc w:val="center"/>
              <w:rPr/>
            </w:pPr>
            <w:r>
              <w:rPr/>
              <w:t>5,881,885</w:t>
            </w:r>
          </w:p>
        </w:tc>
      </w:tr>
      <w:tr>
        <w:trPr/>
        <w:tc>
          <w:tcPr>
            <w:tcW w:w="1790" w:type="dxa"/>
            <w:tcBorders/>
            <w:shd w:fill="FFFFFF" w:val="clear"/>
            <w:vAlign w:val="center"/>
          </w:tcPr>
          <w:p>
            <w:pPr>
              <w:pStyle w:val="TableContents"/>
              <w:bidi w:val="0"/>
              <w:spacing w:before="0" w:after="283"/>
              <w:jc w:val="both"/>
              <w:rPr/>
            </w:pPr>
            <w:r>
              <w:rPr/>
              <w:t>Chris A. Rallis</w:t>
            </w:r>
          </w:p>
        </w:tc>
        <w:tc>
          <w:tcPr>
            <w:tcW w:w="1100" w:type="dxa"/>
            <w:tcBorders/>
            <w:shd w:fill="FFFFFF" w:val="clear"/>
            <w:vAlign w:val="center"/>
          </w:tcPr>
          <w:p>
            <w:pPr>
              <w:pStyle w:val="TableContents"/>
              <w:bidi w:val="0"/>
              <w:spacing w:before="0" w:after="283"/>
              <w:jc w:val="center"/>
              <w:rPr/>
            </w:pPr>
            <w:r>
              <w:rPr/>
              <w:t>20,126,058</w:t>
            </w:r>
          </w:p>
        </w:tc>
        <w:tc>
          <w:tcPr>
            <w:tcW w:w="1505" w:type="dxa"/>
            <w:tcBorders/>
            <w:shd w:fill="FFFFFF" w:val="clear"/>
            <w:vAlign w:val="center"/>
          </w:tcPr>
          <w:p>
            <w:pPr>
              <w:pStyle w:val="TableContents"/>
              <w:bidi w:val="0"/>
              <w:spacing w:before="0" w:after="283"/>
              <w:jc w:val="center"/>
              <w:rPr/>
            </w:pPr>
            <w:r>
              <w:rPr/>
              <w:t>247,429</w:t>
            </w:r>
          </w:p>
        </w:tc>
        <w:tc>
          <w:tcPr>
            <w:tcW w:w="1805" w:type="dxa"/>
            <w:tcBorders/>
            <w:shd w:fill="FFFFFF" w:val="clear"/>
            <w:vAlign w:val="center"/>
          </w:tcPr>
          <w:p>
            <w:pPr>
              <w:pStyle w:val="TableContents"/>
              <w:bidi w:val="0"/>
              <w:spacing w:before="0" w:after="283"/>
              <w:jc w:val="center"/>
              <w:rPr/>
            </w:pPr>
            <w:r>
              <w:rPr/>
              <w:t>5,881,885</w:t>
            </w:r>
          </w:p>
        </w:tc>
      </w:tr>
      <w:tr>
        <w:trPr/>
        <w:tc>
          <w:tcPr>
            <w:tcW w:w="1790" w:type="dxa"/>
            <w:tcBorders/>
            <w:shd w:fill="CCEEFF" w:val="clear"/>
            <w:vAlign w:val="center"/>
          </w:tcPr>
          <w:p>
            <w:pPr>
              <w:pStyle w:val="TableContents"/>
              <w:bidi w:val="0"/>
              <w:spacing w:before="0" w:after="283"/>
              <w:jc w:val="both"/>
              <w:rPr/>
            </w:pPr>
            <w:r>
              <w:rPr/>
              <w:t>Marco Brughera</w:t>
            </w:r>
          </w:p>
        </w:tc>
        <w:tc>
          <w:tcPr>
            <w:tcW w:w="1100" w:type="dxa"/>
            <w:tcBorders/>
            <w:shd w:fill="CCEEFF" w:val="clear"/>
            <w:vAlign w:val="center"/>
          </w:tcPr>
          <w:p>
            <w:pPr>
              <w:pStyle w:val="TableContents"/>
              <w:bidi w:val="0"/>
              <w:spacing w:before="0" w:after="283"/>
              <w:jc w:val="center"/>
              <w:rPr/>
            </w:pPr>
            <w:r>
              <w:rPr/>
              <w:t>20,237,230</w:t>
            </w:r>
          </w:p>
        </w:tc>
        <w:tc>
          <w:tcPr>
            <w:tcW w:w="1505" w:type="dxa"/>
            <w:tcBorders/>
            <w:shd w:fill="CCEEFF" w:val="clear"/>
            <w:vAlign w:val="center"/>
          </w:tcPr>
          <w:p>
            <w:pPr>
              <w:pStyle w:val="TableContents"/>
              <w:bidi w:val="0"/>
              <w:spacing w:before="0" w:after="283"/>
              <w:jc w:val="center"/>
              <w:rPr/>
            </w:pPr>
            <w:r>
              <w:rPr/>
              <w:t>136,257</w:t>
            </w:r>
          </w:p>
        </w:tc>
        <w:tc>
          <w:tcPr>
            <w:tcW w:w="1805" w:type="dxa"/>
            <w:tcBorders/>
            <w:shd w:fill="CCEEFF" w:val="clear"/>
            <w:vAlign w:val="center"/>
          </w:tcPr>
          <w:p>
            <w:pPr>
              <w:pStyle w:val="TableContents"/>
              <w:bidi w:val="0"/>
              <w:spacing w:before="0" w:after="283"/>
              <w:jc w:val="center"/>
              <w:rPr/>
            </w:pPr>
            <w:r>
              <w:rPr/>
              <w:t>5,881,885</w:t>
            </w:r>
          </w:p>
        </w:tc>
      </w:tr>
      <w:tr>
        <w:trPr/>
        <w:tc>
          <w:tcPr>
            <w:tcW w:w="1790" w:type="dxa"/>
            <w:tcBorders/>
            <w:shd w:fill="FFFFFF" w:val="clear"/>
            <w:vAlign w:val="center"/>
          </w:tcPr>
          <w:p>
            <w:pPr>
              <w:pStyle w:val="TableContents"/>
              <w:bidi w:val="0"/>
              <w:spacing w:before="0" w:after="283"/>
              <w:jc w:val="both"/>
              <w:rPr/>
            </w:pPr>
            <w:r>
              <w:rPr/>
              <w:t>Jodi Cook</w:t>
            </w:r>
          </w:p>
        </w:tc>
        <w:tc>
          <w:tcPr>
            <w:tcW w:w="1100" w:type="dxa"/>
            <w:tcBorders/>
            <w:shd w:fill="FFFFFF" w:val="clear"/>
            <w:vAlign w:val="center"/>
          </w:tcPr>
          <w:p>
            <w:pPr>
              <w:pStyle w:val="TableContents"/>
              <w:bidi w:val="0"/>
              <w:spacing w:before="0" w:after="283"/>
              <w:jc w:val="center"/>
              <w:rPr/>
            </w:pPr>
            <w:r>
              <w:rPr/>
              <w:t>20,191,538</w:t>
            </w:r>
          </w:p>
        </w:tc>
        <w:tc>
          <w:tcPr>
            <w:tcW w:w="1505" w:type="dxa"/>
            <w:tcBorders/>
            <w:shd w:fill="FFFFFF" w:val="clear"/>
            <w:vAlign w:val="center"/>
          </w:tcPr>
          <w:p>
            <w:pPr>
              <w:pStyle w:val="TableContents"/>
              <w:bidi w:val="0"/>
              <w:spacing w:before="0" w:after="283"/>
              <w:jc w:val="center"/>
              <w:rPr/>
            </w:pPr>
            <w:r>
              <w:rPr/>
              <w:t>181,949</w:t>
            </w:r>
          </w:p>
        </w:tc>
        <w:tc>
          <w:tcPr>
            <w:tcW w:w="1805" w:type="dxa"/>
            <w:tcBorders/>
            <w:shd w:fill="FFFFFF" w:val="clear"/>
            <w:vAlign w:val="center"/>
          </w:tcPr>
          <w:p>
            <w:pPr>
              <w:pStyle w:val="TableContents"/>
              <w:bidi w:val="0"/>
              <w:spacing w:before="0" w:after="283"/>
              <w:jc w:val="center"/>
              <w:rPr/>
            </w:pPr>
            <w:r>
              <w:rPr/>
              <w:t>5,881,885</w:t>
            </w:r>
          </w:p>
        </w:tc>
      </w:tr>
      <w:tr>
        <w:trPr/>
        <w:tc>
          <w:tcPr>
            <w:tcW w:w="1790" w:type="dxa"/>
            <w:tcBorders/>
            <w:shd w:fill="CCEEFF" w:val="clear"/>
            <w:vAlign w:val="center"/>
          </w:tcPr>
          <w:p>
            <w:pPr>
              <w:pStyle w:val="TableContents"/>
              <w:bidi w:val="0"/>
              <w:spacing w:before="0" w:after="283"/>
              <w:jc w:val="both"/>
              <w:rPr/>
            </w:pPr>
            <w:r>
              <w:rPr/>
              <w:t>Jeffrey Hackman</w:t>
            </w:r>
          </w:p>
        </w:tc>
        <w:tc>
          <w:tcPr>
            <w:tcW w:w="1100" w:type="dxa"/>
            <w:tcBorders/>
            <w:shd w:fill="CCEEFF" w:val="clear"/>
            <w:vAlign w:val="center"/>
          </w:tcPr>
          <w:p>
            <w:pPr>
              <w:pStyle w:val="TableContents"/>
              <w:bidi w:val="0"/>
              <w:spacing w:before="0" w:after="283"/>
              <w:jc w:val="center"/>
              <w:rPr/>
            </w:pPr>
            <w:r>
              <w:rPr/>
              <w:t>20,282,707</w:t>
            </w:r>
          </w:p>
        </w:tc>
        <w:tc>
          <w:tcPr>
            <w:tcW w:w="1505" w:type="dxa"/>
            <w:tcBorders/>
            <w:shd w:fill="CCEEFF" w:val="clear"/>
            <w:vAlign w:val="center"/>
          </w:tcPr>
          <w:p>
            <w:pPr>
              <w:pStyle w:val="TableContents"/>
              <w:bidi w:val="0"/>
              <w:spacing w:before="0" w:after="283"/>
              <w:jc w:val="center"/>
              <w:rPr/>
            </w:pPr>
            <w:r>
              <w:rPr/>
              <w:t>90,780</w:t>
            </w:r>
          </w:p>
        </w:tc>
        <w:tc>
          <w:tcPr>
            <w:tcW w:w="1805" w:type="dxa"/>
            <w:tcBorders/>
            <w:shd w:fill="CCEEFF" w:val="clear"/>
            <w:vAlign w:val="center"/>
          </w:tcPr>
          <w:p>
            <w:pPr>
              <w:pStyle w:val="TableContents"/>
              <w:bidi w:val="0"/>
              <w:spacing w:before="0" w:after="283"/>
              <w:jc w:val="center"/>
              <w:rPr/>
            </w:pPr>
            <w:r>
              <w:rPr/>
              <w:t>5,881,885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resolution to appoint Haskell &amp; White LLP as independent public accounting firm of the Company and to authorize the Board of Directors to fix their remuneration was approved based on the following vote:</w:t>
      </w:r>
    </w:p>
    <w:p>
      <w:pPr>
        <w:pStyle w:val="TextBody"/>
        <w:bidi w:val="0"/>
        <w:spacing w:before="0" w:after="0"/>
        <w:ind w:left="7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05"/>
        <w:gridCol w:w="1115"/>
      </w:tblGrid>
      <w:tr>
        <w:trPr/>
        <w:tc>
          <w:tcPr>
            <w:tcW w:w="1805" w:type="dxa"/>
            <w:tcBorders/>
            <w:shd w:fill="CCEEFF" w:val="clear"/>
            <w:vAlign w:val="center"/>
          </w:tcPr>
          <w:p>
            <w:pPr>
              <w:pStyle w:val="TableContents"/>
              <w:bidi w:val="0"/>
              <w:spacing w:before="0" w:after="283"/>
              <w:jc w:val="both"/>
              <w:rPr/>
            </w:pPr>
            <w:r>
              <w:rPr/>
              <w:t>Votes For</w:t>
            </w:r>
          </w:p>
        </w:tc>
        <w:tc>
          <w:tcPr>
            <w:tcW w:w="1115" w:type="dxa"/>
            <w:tcBorders/>
            <w:shd w:fill="CCEEFF" w:val="clear"/>
            <w:vAlign w:val="center"/>
          </w:tcPr>
          <w:p>
            <w:pPr>
              <w:pStyle w:val="TableContents"/>
              <w:bidi w:val="0"/>
              <w:spacing w:before="0" w:after="283"/>
              <w:jc w:val="center"/>
              <w:rPr/>
            </w:pPr>
            <w:r>
              <w:rPr/>
              <w:t>26,091,716</w:t>
            </w:r>
          </w:p>
        </w:tc>
      </w:tr>
      <w:tr>
        <w:trPr/>
        <w:tc>
          <w:tcPr>
            <w:tcW w:w="1805" w:type="dxa"/>
            <w:tcBorders/>
            <w:shd w:fill="FFFFFF" w:val="clear"/>
            <w:vAlign w:val="center"/>
          </w:tcPr>
          <w:p>
            <w:pPr>
              <w:pStyle w:val="TableContents"/>
              <w:bidi w:val="0"/>
              <w:spacing w:before="0" w:after="283"/>
              <w:jc w:val="both"/>
              <w:rPr/>
            </w:pPr>
            <w:r>
              <w:rPr/>
              <w:t>Votes Withheld</w:t>
            </w:r>
          </w:p>
        </w:tc>
        <w:tc>
          <w:tcPr>
            <w:tcW w:w="1115" w:type="dxa"/>
            <w:tcBorders/>
            <w:shd w:fill="FFFFFF" w:val="clear"/>
            <w:vAlign w:val="center"/>
          </w:tcPr>
          <w:p>
            <w:pPr>
              <w:pStyle w:val="TableContents"/>
              <w:bidi w:val="0"/>
              <w:spacing w:before="0" w:after="283"/>
              <w:jc w:val="center"/>
              <w:rPr/>
            </w:pPr>
            <w:r>
              <w:rPr/>
              <w:t>134,491</w:t>
            </w:r>
          </w:p>
        </w:tc>
      </w:tr>
      <w:tr>
        <w:trPr/>
        <w:tc>
          <w:tcPr>
            <w:tcW w:w="1805" w:type="dxa"/>
            <w:tcBorders/>
            <w:shd w:fill="CCEEFF" w:val="clear"/>
            <w:vAlign w:val="center"/>
          </w:tcPr>
          <w:p>
            <w:pPr>
              <w:pStyle w:val="TableContents"/>
              <w:bidi w:val="0"/>
              <w:spacing w:before="0" w:after="283"/>
              <w:jc w:val="both"/>
              <w:rPr/>
            </w:pPr>
            <w:r>
              <w:rPr/>
              <w:t>Votes Against</w:t>
            </w:r>
          </w:p>
        </w:tc>
        <w:tc>
          <w:tcPr>
            <w:tcW w:w="1115" w:type="dxa"/>
            <w:tcBorders/>
            <w:shd w:fill="CCEEFF" w:val="clear"/>
            <w:vAlign w:val="center"/>
          </w:tcPr>
          <w:p>
            <w:pPr>
              <w:pStyle w:val="TableContents"/>
              <w:bidi w:val="0"/>
              <w:spacing w:before="0" w:after="283"/>
              <w:jc w:val="center"/>
              <w:rPr/>
            </w:pPr>
            <w:r>
              <w:rPr/>
              <w:t>29,165</w:t>
            </w:r>
          </w:p>
        </w:tc>
      </w:tr>
      <w:tr>
        <w:trPr/>
        <w:tc>
          <w:tcPr>
            <w:tcW w:w="1805" w:type="dxa"/>
            <w:tcBorders/>
            <w:shd w:fill="FFFFFF" w:val="clear"/>
            <w:vAlign w:val="center"/>
          </w:tcPr>
          <w:p>
            <w:pPr>
              <w:pStyle w:val="TableContents"/>
              <w:bidi w:val="0"/>
              <w:spacing w:before="0" w:after="283"/>
              <w:jc w:val="both"/>
              <w:rPr/>
            </w:pPr>
            <w:r>
              <w:rPr/>
              <w:t>Broker Non-Votes</w:t>
            </w:r>
          </w:p>
        </w:tc>
        <w:tc>
          <w:tcPr>
            <w:tcW w:w="1115" w:type="dxa"/>
            <w:tcBorders/>
            <w:shd w:fill="FFFFFF" w:val="clear"/>
            <w:vAlign w:val="center"/>
          </w:tcPr>
          <w:p>
            <w:pPr>
              <w:pStyle w:val="TableContents"/>
              <w:bidi w:val="0"/>
              <w:spacing w:before="0" w:after="283"/>
              <w:jc w:val="center"/>
              <w:rPr/>
            </w:pPr>
            <w:r>
              <w:rPr/>
              <w:t>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resolution to vote on the advisory vote on executive compensation was approved based on the following vote:</w:t>
      </w:r>
    </w:p>
    <w:p>
      <w:pPr>
        <w:pStyle w:val="TextBody"/>
        <w:bidi w:val="0"/>
        <w:spacing w:before="0" w:after="0"/>
        <w:ind w:left="7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05"/>
        <w:gridCol w:w="1115"/>
      </w:tblGrid>
      <w:tr>
        <w:trPr/>
        <w:tc>
          <w:tcPr>
            <w:tcW w:w="1805" w:type="dxa"/>
            <w:tcBorders/>
            <w:shd w:fill="CCEEFF" w:val="clear"/>
            <w:vAlign w:val="center"/>
          </w:tcPr>
          <w:p>
            <w:pPr>
              <w:pStyle w:val="TableContents"/>
              <w:bidi w:val="0"/>
              <w:spacing w:before="0" w:after="283"/>
              <w:jc w:val="both"/>
              <w:rPr/>
            </w:pPr>
            <w:r>
              <w:rPr/>
              <w:t>Votes For</w:t>
            </w:r>
          </w:p>
        </w:tc>
        <w:tc>
          <w:tcPr>
            <w:tcW w:w="1115" w:type="dxa"/>
            <w:tcBorders/>
            <w:shd w:fill="CCEEFF" w:val="clear"/>
            <w:vAlign w:val="center"/>
          </w:tcPr>
          <w:p>
            <w:pPr>
              <w:pStyle w:val="TableContents"/>
              <w:bidi w:val="0"/>
              <w:spacing w:before="0" w:after="283"/>
              <w:jc w:val="center"/>
              <w:rPr/>
            </w:pPr>
            <w:r>
              <w:rPr/>
              <w:t>19,326,750</w:t>
            </w:r>
          </w:p>
        </w:tc>
      </w:tr>
      <w:tr>
        <w:trPr/>
        <w:tc>
          <w:tcPr>
            <w:tcW w:w="1805" w:type="dxa"/>
            <w:tcBorders/>
            <w:shd w:fill="FFFFFF" w:val="clear"/>
            <w:vAlign w:val="center"/>
          </w:tcPr>
          <w:p>
            <w:pPr>
              <w:pStyle w:val="TableContents"/>
              <w:bidi w:val="0"/>
              <w:spacing w:before="0" w:after="283"/>
              <w:jc w:val="both"/>
              <w:rPr/>
            </w:pPr>
            <w:r>
              <w:rPr/>
              <w:t>Votes Against</w:t>
            </w:r>
          </w:p>
        </w:tc>
        <w:tc>
          <w:tcPr>
            <w:tcW w:w="1115" w:type="dxa"/>
            <w:tcBorders/>
            <w:shd w:fill="FFFFFF" w:val="clear"/>
            <w:vAlign w:val="center"/>
          </w:tcPr>
          <w:p>
            <w:pPr>
              <w:pStyle w:val="TableContents"/>
              <w:bidi w:val="0"/>
              <w:spacing w:before="0" w:after="283"/>
              <w:jc w:val="center"/>
              <w:rPr/>
            </w:pPr>
            <w:r>
              <w:rPr/>
              <w:t>336,060</w:t>
            </w:r>
          </w:p>
        </w:tc>
      </w:tr>
      <w:tr>
        <w:trPr/>
        <w:tc>
          <w:tcPr>
            <w:tcW w:w="1805" w:type="dxa"/>
            <w:tcBorders/>
            <w:shd w:fill="CCEEFF" w:val="clear"/>
            <w:vAlign w:val="center"/>
          </w:tcPr>
          <w:p>
            <w:pPr>
              <w:pStyle w:val="TableContents"/>
              <w:bidi w:val="0"/>
              <w:spacing w:before="0" w:after="283"/>
              <w:jc w:val="both"/>
              <w:rPr/>
            </w:pPr>
            <w:r>
              <w:rPr/>
              <w:t>Abstentions</w:t>
            </w:r>
          </w:p>
        </w:tc>
        <w:tc>
          <w:tcPr>
            <w:tcW w:w="1115" w:type="dxa"/>
            <w:tcBorders/>
            <w:shd w:fill="CCEEFF" w:val="clear"/>
            <w:vAlign w:val="center"/>
          </w:tcPr>
          <w:p>
            <w:pPr>
              <w:pStyle w:val="TableContents"/>
              <w:bidi w:val="0"/>
              <w:spacing w:before="0" w:after="283"/>
              <w:jc w:val="center"/>
              <w:rPr/>
            </w:pPr>
            <w:r>
              <w:rPr/>
              <w:t>710,677</w:t>
            </w:r>
          </w:p>
        </w:tc>
      </w:tr>
      <w:tr>
        <w:trPr/>
        <w:tc>
          <w:tcPr>
            <w:tcW w:w="1805" w:type="dxa"/>
            <w:tcBorders/>
            <w:shd w:fill="FFFFFF" w:val="clear"/>
            <w:vAlign w:val="center"/>
          </w:tcPr>
          <w:p>
            <w:pPr>
              <w:pStyle w:val="TableContents"/>
              <w:bidi w:val="0"/>
              <w:spacing w:before="0" w:after="283"/>
              <w:jc w:val="both"/>
              <w:rPr/>
            </w:pPr>
            <w:r>
              <w:rPr/>
              <w:t>Broker Non-Votes</w:t>
            </w:r>
          </w:p>
        </w:tc>
        <w:tc>
          <w:tcPr>
            <w:tcW w:w="1115" w:type="dxa"/>
            <w:tcBorders/>
            <w:shd w:fill="FFFFFF" w:val="clear"/>
            <w:vAlign w:val="center"/>
          </w:tcPr>
          <w:p>
            <w:pPr>
              <w:pStyle w:val="TableContents"/>
              <w:bidi w:val="0"/>
              <w:spacing w:before="0" w:after="283"/>
              <w:jc w:val="center"/>
              <w:rPr/>
            </w:pPr>
            <w:r>
              <w:rPr/>
              <w:t>5,881,885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resolution to vote on the advisory vote on the frequency of advisory votes on compensation of Corporations named executive officers was approved based on the following vote:</w:t>
      </w:r>
    </w:p>
    <w:p>
      <w:pPr>
        <w:pStyle w:val="TextBody"/>
        <w:bidi w:val="0"/>
        <w:spacing w:before="0" w:after="0"/>
        <w:ind w:left="72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765"/>
        <w:gridCol w:w="1115"/>
      </w:tblGrid>
      <w:tr>
        <w:trPr/>
        <w:tc>
          <w:tcPr>
            <w:tcW w:w="2765" w:type="dxa"/>
            <w:tcBorders/>
            <w:shd w:fill="CCEEFF" w:val="clear"/>
            <w:vAlign w:val="center"/>
          </w:tcPr>
          <w:p>
            <w:pPr>
              <w:pStyle w:val="TableContents"/>
              <w:bidi w:val="0"/>
              <w:spacing w:before="0" w:after="283"/>
              <w:jc w:val="both"/>
              <w:rPr/>
            </w:pPr>
            <w:r>
              <w:rPr/>
              <w:t>Votes For Evey One Year</w:t>
            </w:r>
          </w:p>
        </w:tc>
        <w:tc>
          <w:tcPr>
            <w:tcW w:w="1115" w:type="dxa"/>
            <w:tcBorders/>
            <w:shd w:fill="CCEEFF" w:val="clear"/>
            <w:vAlign w:val="center"/>
          </w:tcPr>
          <w:p>
            <w:pPr>
              <w:pStyle w:val="TableContents"/>
              <w:bidi w:val="0"/>
              <w:spacing w:before="0" w:after="283"/>
              <w:jc w:val="center"/>
              <w:rPr/>
            </w:pPr>
            <w:r>
              <w:rPr/>
              <w:t>18,235,648</w:t>
            </w:r>
          </w:p>
        </w:tc>
      </w:tr>
      <w:tr>
        <w:trPr/>
        <w:tc>
          <w:tcPr>
            <w:tcW w:w="2765" w:type="dxa"/>
            <w:tcBorders/>
            <w:shd w:fill="FFFFFF" w:val="clear"/>
            <w:vAlign w:val="center"/>
          </w:tcPr>
          <w:p>
            <w:pPr>
              <w:pStyle w:val="TableContents"/>
              <w:bidi w:val="0"/>
              <w:spacing w:before="0" w:after="283"/>
              <w:jc w:val="both"/>
              <w:rPr/>
            </w:pPr>
            <w:r>
              <w:rPr/>
              <w:t>Votes For Evey Two Years</w:t>
            </w:r>
          </w:p>
        </w:tc>
        <w:tc>
          <w:tcPr>
            <w:tcW w:w="1115" w:type="dxa"/>
            <w:tcBorders/>
            <w:shd w:fill="FFFFFF" w:val="clear"/>
            <w:vAlign w:val="center"/>
          </w:tcPr>
          <w:p>
            <w:pPr>
              <w:pStyle w:val="TableContents"/>
              <w:bidi w:val="0"/>
              <w:spacing w:before="0" w:after="283"/>
              <w:jc w:val="center"/>
              <w:rPr/>
            </w:pPr>
            <w:r>
              <w:rPr/>
              <w:t>2,326</w:t>
            </w:r>
          </w:p>
        </w:tc>
      </w:tr>
      <w:tr>
        <w:trPr/>
        <w:tc>
          <w:tcPr>
            <w:tcW w:w="2765" w:type="dxa"/>
            <w:tcBorders/>
            <w:shd w:fill="CCEEFF" w:val="clear"/>
            <w:vAlign w:val="center"/>
          </w:tcPr>
          <w:p>
            <w:pPr>
              <w:pStyle w:val="TableContents"/>
              <w:bidi w:val="0"/>
              <w:spacing w:before="0" w:after="283"/>
              <w:jc w:val="both"/>
              <w:rPr/>
            </w:pPr>
            <w:r>
              <w:rPr/>
              <w:t>Votes For Evey Three Years</w:t>
            </w:r>
          </w:p>
        </w:tc>
        <w:tc>
          <w:tcPr>
            <w:tcW w:w="1115" w:type="dxa"/>
            <w:tcBorders/>
            <w:shd w:fill="CCEEFF" w:val="clear"/>
            <w:vAlign w:val="center"/>
          </w:tcPr>
          <w:p>
            <w:pPr>
              <w:pStyle w:val="TableContents"/>
              <w:bidi w:val="0"/>
              <w:spacing w:before="0" w:after="283"/>
              <w:jc w:val="center"/>
              <w:rPr/>
            </w:pPr>
            <w:r>
              <w:rPr/>
              <w:t>2,086219</w:t>
            </w:r>
          </w:p>
        </w:tc>
      </w:tr>
      <w:tr>
        <w:trPr/>
        <w:tc>
          <w:tcPr>
            <w:tcW w:w="2765" w:type="dxa"/>
            <w:tcBorders/>
            <w:shd w:fill="FFFFFF" w:val="clear"/>
            <w:vAlign w:val="center"/>
          </w:tcPr>
          <w:p>
            <w:pPr>
              <w:pStyle w:val="TableContents"/>
              <w:bidi w:val="0"/>
              <w:spacing w:before="0" w:after="283"/>
              <w:jc w:val="both"/>
              <w:rPr/>
            </w:pPr>
            <w:r>
              <w:rPr/>
              <w:t>Abstentions</w:t>
            </w:r>
          </w:p>
        </w:tc>
        <w:tc>
          <w:tcPr>
            <w:tcW w:w="1115" w:type="dxa"/>
            <w:tcBorders/>
            <w:shd w:fill="FFFFFF" w:val="clear"/>
            <w:vAlign w:val="center"/>
          </w:tcPr>
          <w:p>
            <w:pPr>
              <w:pStyle w:val="TableContents"/>
              <w:bidi w:val="0"/>
              <w:spacing w:before="0" w:after="283"/>
              <w:jc w:val="center"/>
              <w:rPr/>
            </w:pPr>
            <w:r>
              <w:rPr/>
              <w:t>49,294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resolution to approve certain amendments to Corporation’s 2020 Equity Incentive Plan was approved based on the following vote:</w:t>
      </w:r>
    </w:p>
    <w:p>
      <w:pPr>
        <w:pStyle w:val="TextBody"/>
        <w:bidi w:val="0"/>
        <w:spacing w:before="0" w:after="0"/>
        <w:ind w:left="144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05"/>
        <w:gridCol w:w="1115"/>
      </w:tblGrid>
      <w:tr>
        <w:trPr/>
        <w:tc>
          <w:tcPr>
            <w:tcW w:w="1805" w:type="dxa"/>
            <w:tcBorders/>
            <w:shd w:fill="CCEEFF" w:val="clear"/>
            <w:vAlign w:val="center"/>
          </w:tcPr>
          <w:p>
            <w:pPr>
              <w:pStyle w:val="TableContents"/>
              <w:bidi w:val="0"/>
              <w:spacing w:before="0" w:after="283"/>
              <w:jc w:val="both"/>
              <w:rPr/>
            </w:pPr>
            <w:r>
              <w:rPr/>
              <w:t>Votes For</w:t>
            </w:r>
            <w:r>
              <w:rPr>
                <w:position w:val="8"/>
                <w:sz w:val="19"/>
              </w:rPr>
              <w:t>(1)</w:t>
            </w:r>
          </w:p>
        </w:tc>
        <w:tc>
          <w:tcPr>
            <w:tcW w:w="1115" w:type="dxa"/>
            <w:tcBorders/>
            <w:shd w:fill="CCEEFF" w:val="clear"/>
            <w:vAlign w:val="center"/>
          </w:tcPr>
          <w:p>
            <w:pPr>
              <w:pStyle w:val="TableContents"/>
              <w:bidi w:val="0"/>
              <w:spacing w:before="0" w:after="283"/>
              <w:jc w:val="center"/>
              <w:rPr/>
            </w:pPr>
            <w:r>
              <w:rPr/>
              <w:t>17,425,439</w:t>
            </w:r>
          </w:p>
        </w:tc>
      </w:tr>
      <w:tr>
        <w:trPr/>
        <w:tc>
          <w:tcPr>
            <w:tcW w:w="1805" w:type="dxa"/>
            <w:tcBorders/>
            <w:shd w:fill="FFFFFF" w:val="clear"/>
            <w:vAlign w:val="center"/>
          </w:tcPr>
          <w:p>
            <w:pPr>
              <w:pStyle w:val="TableContents"/>
              <w:bidi w:val="0"/>
              <w:spacing w:before="0" w:after="283"/>
              <w:jc w:val="both"/>
              <w:rPr/>
            </w:pPr>
            <w:r>
              <w:rPr/>
              <w:t>Votes Against</w:t>
            </w:r>
          </w:p>
        </w:tc>
        <w:tc>
          <w:tcPr>
            <w:tcW w:w="1115" w:type="dxa"/>
            <w:tcBorders/>
            <w:shd w:fill="FFFFFF" w:val="clear"/>
            <w:vAlign w:val="center"/>
          </w:tcPr>
          <w:p>
            <w:pPr>
              <w:pStyle w:val="TableContents"/>
              <w:bidi w:val="0"/>
              <w:spacing w:before="0" w:after="283"/>
              <w:jc w:val="center"/>
              <w:rPr/>
            </w:pPr>
            <w:r>
              <w:rPr/>
              <w:t>1,429,951</w:t>
            </w:r>
          </w:p>
        </w:tc>
      </w:tr>
      <w:tr>
        <w:trPr/>
        <w:tc>
          <w:tcPr>
            <w:tcW w:w="1805" w:type="dxa"/>
            <w:tcBorders/>
            <w:shd w:fill="CCEEFF" w:val="clear"/>
            <w:vAlign w:val="center"/>
          </w:tcPr>
          <w:p>
            <w:pPr>
              <w:pStyle w:val="TableContents"/>
              <w:bidi w:val="0"/>
              <w:spacing w:before="0" w:after="283"/>
              <w:jc w:val="both"/>
              <w:rPr/>
            </w:pPr>
            <w:r>
              <w:rPr/>
              <w:t>Abstentions</w:t>
            </w:r>
          </w:p>
        </w:tc>
        <w:tc>
          <w:tcPr>
            <w:tcW w:w="1115" w:type="dxa"/>
            <w:tcBorders/>
            <w:shd w:fill="CCEEFF" w:val="clear"/>
            <w:vAlign w:val="center"/>
          </w:tcPr>
          <w:p>
            <w:pPr>
              <w:pStyle w:val="TableContents"/>
              <w:bidi w:val="0"/>
              <w:spacing w:before="0" w:after="283"/>
              <w:jc w:val="center"/>
              <w:rPr/>
            </w:pPr>
            <w:r>
              <w:rPr/>
              <w:t>751,944</w:t>
            </w:r>
          </w:p>
        </w:tc>
      </w:tr>
      <w:tr>
        <w:trPr/>
        <w:tc>
          <w:tcPr>
            <w:tcW w:w="1805" w:type="dxa"/>
            <w:tcBorders/>
            <w:shd w:fill="FFFFFF" w:val="clear"/>
            <w:vAlign w:val="center"/>
          </w:tcPr>
          <w:p>
            <w:pPr>
              <w:pStyle w:val="TableContents"/>
              <w:bidi w:val="0"/>
              <w:spacing w:before="0" w:after="283"/>
              <w:jc w:val="both"/>
              <w:rPr/>
            </w:pPr>
            <w:r>
              <w:rPr/>
              <w:t>Broker Non-Votes</w:t>
            </w:r>
          </w:p>
        </w:tc>
        <w:tc>
          <w:tcPr>
            <w:tcW w:w="1115" w:type="dxa"/>
            <w:tcBorders/>
            <w:shd w:fill="FFFFFF" w:val="clear"/>
            <w:vAlign w:val="center"/>
          </w:tcPr>
          <w:p>
            <w:pPr>
              <w:pStyle w:val="TableContents"/>
              <w:bidi w:val="0"/>
              <w:spacing w:before="0" w:after="283"/>
              <w:jc w:val="center"/>
              <w:rPr/>
            </w:pPr>
            <w:r>
              <w:rPr/>
              <w:t>5,881,885</w:t>
            </w:r>
          </w:p>
        </w:tc>
      </w:tr>
    </w:tbl>
    <w:p>
      <w:pPr>
        <w:pStyle w:val="TextBody"/>
        <w:bidi w:val="0"/>
        <w:spacing w:before="0" w:after="0"/>
        <w:ind w:left="714" w:right="0" w:hanging="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aggregate of 766,153 common shares, representing the aggregate number of shares held by officers and directors of the Corporation, has been deducted from the FOR vote in respect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resolution to ratify and approve the adoption of Fennec’s 2026 Equity Inducement Plan was approved based on the following vote:.</w:t>
      </w:r>
    </w:p>
    <w:p>
      <w:pPr>
        <w:pStyle w:val="TextBody"/>
        <w:bidi w:val="0"/>
        <w:spacing w:before="0" w:after="0"/>
        <w:ind w:left="0" w:right="0" w:firstLine="72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05"/>
        <w:gridCol w:w="1115"/>
      </w:tblGrid>
      <w:tr>
        <w:trPr/>
        <w:tc>
          <w:tcPr>
            <w:tcW w:w="1805" w:type="dxa"/>
            <w:tcBorders/>
            <w:shd w:fill="CCEEFF" w:val="clear"/>
            <w:vAlign w:val="center"/>
          </w:tcPr>
          <w:p>
            <w:pPr>
              <w:pStyle w:val="TableContents"/>
              <w:bidi w:val="0"/>
              <w:spacing w:before="0" w:after="283"/>
              <w:jc w:val="both"/>
              <w:rPr/>
            </w:pPr>
            <w:r>
              <w:rPr/>
              <w:t>Votes For</w:t>
            </w:r>
          </w:p>
        </w:tc>
        <w:tc>
          <w:tcPr>
            <w:tcW w:w="1115" w:type="dxa"/>
            <w:tcBorders/>
            <w:shd w:fill="CCEEFF" w:val="clear"/>
            <w:vAlign w:val="center"/>
          </w:tcPr>
          <w:p>
            <w:pPr>
              <w:pStyle w:val="TableContents"/>
              <w:bidi w:val="0"/>
              <w:spacing w:before="0" w:after="283"/>
              <w:jc w:val="center"/>
              <w:rPr/>
            </w:pPr>
            <w:r>
              <w:rPr/>
              <w:t>18,626,207</w:t>
            </w:r>
          </w:p>
        </w:tc>
      </w:tr>
      <w:tr>
        <w:trPr/>
        <w:tc>
          <w:tcPr>
            <w:tcW w:w="1805" w:type="dxa"/>
            <w:tcBorders/>
            <w:shd w:fill="FFFFFF" w:val="clear"/>
            <w:vAlign w:val="center"/>
          </w:tcPr>
          <w:p>
            <w:pPr>
              <w:pStyle w:val="TableContents"/>
              <w:bidi w:val="0"/>
              <w:spacing w:before="0" w:after="283"/>
              <w:jc w:val="both"/>
              <w:rPr/>
            </w:pPr>
            <w:r>
              <w:rPr/>
              <w:t>Votes Against</w:t>
            </w:r>
          </w:p>
        </w:tc>
        <w:tc>
          <w:tcPr>
            <w:tcW w:w="1115" w:type="dxa"/>
            <w:tcBorders/>
            <w:shd w:fill="FFFFFF" w:val="clear"/>
            <w:vAlign w:val="center"/>
          </w:tcPr>
          <w:p>
            <w:pPr>
              <w:pStyle w:val="TableContents"/>
              <w:bidi w:val="0"/>
              <w:spacing w:before="0" w:after="283"/>
              <w:jc w:val="center"/>
              <w:rPr/>
            </w:pPr>
            <w:r>
              <w:rPr/>
              <w:t>1,033,779</w:t>
            </w:r>
          </w:p>
        </w:tc>
      </w:tr>
      <w:tr>
        <w:trPr/>
        <w:tc>
          <w:tcPr>
            <w:tcW w:w="1805" w:type="dxa"/>
            <w:tcBorders/>
            <w:shd w:fill="CCEEFF" w:val="clear"/>
            <w:vAlign w:val="center"/>
          </w:tcPr>
          <w:p>
            <w:pPr>
              <w:pStyle w:val="TableContents"/>
              <w:bidi w:val="0"/>
              <w:spacing w:before="0" w:after="283"/>
              <w:jc w:val="both"/>
              <w:rPr/>
            </w:pPr>
            <w:r>
              <w:rPr/>
              <w:t>Abstentions</w:t>
            </w:r>
          </w:p>
        </w:tc>
        <w:tc>
          <w:tcPr>
            <w:tcW w:w="1115" w:type="dxa"/>
            <w:tcBorders/>
            <w:shd w:fill="CCEEFF" w:val="clear"/>
            <w:vAlign w:val="center"/>
          </w:tcPr>
          <w:p>
            <w:pPr>
              <w:pStyle w:val="TableContents"/>
              <w:bidi w:val="0"/>
              <w:spacing w:before="0" w:after="283"/>
              <w:jc w:val="center"/>
              <w:rPr/>
            </w:pPr>
            <w:r>
              <w:rPr/>
              <w:t>713,501</w:t>
            </w:r>
          </w:p>
        </w:tc>
      </w:tr>
      <w:tr>
        <w:trPr/>
        <w:tc>
          <w:tcPr>
            <w:tcW w:w="1805" w:type="dxa"/>
            <w:tcBorders/>
            <w:shd w:fill="FFFFFF" w:val="clear"/>
            <w:vAlign w:val="center"/>
          </w:tcPr>
          <w:p>
            <w:pPr>
              <w:pStyle w:val="TableContents"/>
              <w:bidi w:val="0"/>
              <w:spacing w:before="0" w:after="283"/>
              <w:jc w:val="both"/>
              <w:rPr/>
            </w:pPr>
            <w:r>
              <w:rPr/>
              <w:t>Broker Non-Votes</w:t>
            </w:r>
          </w:p>
        </w:tc>
        <w:tc>
          <w:tcPr>
            <w:tcW w:w="1115" w:type="dxa"/>
            <w:tcBorders/>
            <w:shd w:fill="FFFFFF" w:val="clear"/>
            <w:vAlign w:val="center"/>
          </w:tcPr>
          <w:p>
            <w:pPr>
              <w:pStyle w:val="TableContents"/>
              <w:bidi w:val="0"/>
              <w:spacing w:before="0" w:after="283"/>
              <w:jc w:val="center"/>
              <w:rPr/>
            </w:pPr>
            <w:r>
              <w:rPr/>
              <w:t>5,881,885</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33" w:type="dxa"/>
        <w:jc w:val="left"/>
        <w:tblInd w:w="0" w:type="dxa"/>
        <w:tblLayout w:type="fixed"/>
        <w:tblCellMar>
          <w:top w:w="0" w:type="dxa"/>
          <w:left w:w="0" w:type="dxa"/>
          <w:bottom w:w="0" w:type="dxa"/>
          <w:right w:w="0" w:type="dxa"/>
        </w:tblCellMar>
      </w:tblPr>
      <w:tblGrid>
        <w:gridCol w:w="1595"/>
        <w:gridCol w:w="441"/>
        <w:gridCol w:w="82"/>
        <w:gridCol w:w="2615"/>
      </w:tblGrid>
      <w:tr>
        <w:trPr/>
        <w:tc>
          <w:tcPr>
            <w:tcW w:w="1595" w:type="dxa"/>
            <w:tcBorders/>
            <w:vAlign w:val="center"/>
          </w:tcPr>
          <w:p>
            <w:pPr>
              <w:pStyle w:val="TableContents"/>
              <w:bidi w:val="0"/>
              <w:spacing w:before="0" w:after="283"/>
              <w:jc w:val="left"/>
              <w:rPr/>
            </w:pPr>
            <w:r>
              <w:rPr/>
              <w:t> </w:t>
            </w:r>
          </w:p>
        </w:tc>
        <w:tc>
          <w:tcPr>
            <w:tcW w:w="313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595" w:type="dxa"/>
            <w:tcBorders/>
            <w:vAlign w:val="center"/>
          </w:tcPr>
          <w:p>
            <w:pPr>
              <w:pStyle w:val="TableContents"/>
              <w:bidi w:val="0"/>
              <w:spacing w:before="0" w:after="283"/>
              <w:jc w:val="left"/>
              <w:rPr/>
            </w:pPr>
            <w:r>
              <w:rPr/>
              <w:t> </w:t>
            </w:r>
          </w:p>
        </w:tc>
        <w:tc>
          <w:tcPr>
            <w:tcW w:w="3138" w:type="dxa"/>
            <w:gridSpan w:val="3"/>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697" w:type="dxa"/>
            <w:gridSpan w:val="2"/>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10, 2026</w:t>
            </w:r>
          </w:p>
        </w:tc>
        <w:tc>
          <w:tcPr>
            <w:tcW w:w="4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Andrade</w:t>
            </w:r>
          </w:p>
        </w:tc>
      </w:tr>
      <w:tr>
        <w:trPr/>
        <w:tc>
          <w:tcPr>
            <w:tcW w:w="1595"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Andrade</w:t>
            </w:r>
          </w:p>
        </w:tc>
      </w:tr>
      <w:tr>
        <w:trPr/>
        <w:tc>
          <w:tcPr>
            <w:tcW w:w="1595"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685</Words>
  <Characters>3807</Characters>
  <CharactersWithSpaces>4472</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