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320" w:right="460" w:hanging="3296"/>
        <w:spacing w:after="0" w:line="258" w:lineRule="auto"/>
        <w:tabs>
          <w:tab w:leader="none" w:pos="6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jc w:val="center"/>
        <w:ind w:left="3480" w:right="440" w:hanging="3456"/>
        <w:spacing w:after="0" w:line="391" w:lineRule="auto"/>
        <w:tabs>
          <w:tab w:leader="none" w:pos="63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 to ____</w:t>
      </w:r>
    </w:p>
    <w:p>
      <w:pPr>
        <w:ind w:left="37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001-32295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FENNEC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680" w:type="dxa"/>
            <w:vAlign w:val="bottom"/>
            <w:tcBorders>
              <w:top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20-0442384</w:t>
            </w:r>
          </w:p>
        </w:tc>
      </w:tr>
      <w:tr>
        <w:trPr>
          <w:trHeight w:val="216"/>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6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PO Box 13628, 68 TW Alexander Drive</w:t>
            </w:r>
          </w:p>
        </w:tc>
        <w:tc>
          <w:tcPr>
            <w:tcW w:w="4680" w:type="dxa"/>
            <w:vAlign w:val="bottom"/>
          </w:tcPr>
          <w:p>
            <w:pPr>
              <w:spacing w:after="0"/>
              <w:rPr>
                <w:sz w:val="24"/>
                <w:szCs w:val="24"/>
                <w:color w:val="auto"/>
              </w:rPr>
            </w:pPr>
          </w:p>
        </w:tc>
      </w:tr>
      <w:tr>
        <w:trPr>
          <w:trHeight w:val="216"/>
        </w:trPr>
        <w:tc>
          <w:tcPr>
            <w:tcW w:w="55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Research Triangle Park, North Carolina</w:t>
            </w:r>
          </w:p>
        </w:tc>
        <w:tc>
          <w:tcPr>
            <w:tcW w:w="46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245"/>
        </w:trPr>
        <w:tc>
          <w:tcPr>
            <w:tcW w:w="5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636-4530</w:t>
      </w:r>
    </w:p>
    <w:p>
      <w:pPr>
        <w:spacing w:after="0" w:line="1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FENC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30"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97" w:lineRule="exact"/>
        <w:rPr>
          <w:sz w:val="24"/>
          <w:szCs w:val="24"/>
          <w:color w:val="auto"/>
        </w:rPr>
      </w:pPr>
    </w:p>
    <w:p>
      <w:pPr>
        <w:ind w:left="20"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0" w:right="720"/>
        <w:spacing w:after="0" w:line="320" w:lineRule="exact"/>
        <w:rPr>
          <w:sz w:val="20"/>
          <w:szCs w:val="20"/>
          <w:color w:val="auto"/>
        </w:rPr>
      </w:pPr>
      <w:r>
        <w:rPr>
          <w:rFonts w:ascii="Times New Roman" w:cs="Times New Roman" w:eastAsia="Times New Roman" w:hAnsi="Times New Roman"/>
          <w:sz w:val="18"/>
          <w:szCs w:val="18"/>
          <w:color w:val="auto"/>
        </w:rPr>
        <w:t xml:space="preserve">Indicated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10, 2024, there were 27,322,141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514985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9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5220" w:type="dxa"/>
            <w:vAlign w:val="bottom"/>
            <w:gridSpan w:val="9"/>
            <w:vMerge w:val="restart"/>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5220" w:type="dxa"/>
            <w:vAlign w:val="bottom"/>
            <w:gridSpan w:val="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1. Condensed Consolidated Financial Statements</w:t>
            </w:r>
          </w:p>
        </w:tc>
        <w:tc>
          <w:tcPr>
            <w:tcW w:w="422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 as of March 31,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Months Ended March 31, 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Equity/(Deficit) (Unaudited) for the 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March 31, 2024 and 2023</w:t>
            </w: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Three Months Ended March 31, 2024</w:t>
            </w:r>
          </w:p>
        </w:tc>
        <w:tc>
          <w:tcPr>
            <w:tcW w:w="2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386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3. Controls and Procedures</w:t>
            </w:r>
          </w:p>
        </w:tc>
        <w:tc>
          <w:tcPr>
            <w:tcW w:w="4640" w:type="dxa"/>
            <w:vAlign w:val="bottom"/>
            <w:tcBorders>
              <w:top w:val="single" w:sz="8" w:color="0000EE"/>
            </w:tcBorders>
            <w:gridSpan w:val="7"/>
          </w:tcPr>
          <w:p>
            <w:pPr>
              <w:spacing w:after="0"/>
              <w:rPr>
                <w:sz w:val="24"/>
                <w:szCs w:val="24"/>
                <w:color w:val="auto"/>
              </w:rPr>
            </w:pPr>
          </w:p>
        </w:tc>
        <w:tc>
          <w:tcPr>
            <w:tcW w:w="11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5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PART II: OTHER INFORMATION</w:t>
            </w:r>
          </w:p>
        </w:tc>
        <w:tc>
          <w:tcPr>
            <w:tcW w:w="55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2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22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2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24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62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80" w:type="dxa"/>
            <w:vAlign w:val="bottom"/>
            <w:tcBorders>
              <w:top w:val="single" w:sz="8" w:color="0000EE"/>
            </w:tcBorders>
          </w:tcPr>
          <w:p>
            <w:pPr>
              <w:spacing w:after="0"/>
              <w:rPr>
                <w:sz w:val="24"/>
                <w:szCs w:val="24"/>
                <w:color w:val="auto"/>
              </w:rPr>
            </w:pPr>
          </w:p>
        </w:tc>
        <w:tc>
          <w:tcPr>
            <w:tcW w:w="698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and shares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 net of amortization</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 liability - Norgine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PIK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discount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liability - long-term</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40" w:type="dxa"/>
            <w:vAlign w:val="bottom"/>
          </w:tcPr>
          <w:p>
            <w:pPr>
              <w:ind w:left="80"/>
              <w:spacing w:after="0" w:line="179" w:lineRule="exact"/>
              <w:rPr>
                <w:sz w:val="20"/>
                <w:szCs w:val="20"/>
                <w:color w:val="auto"/>
              </w:rPr>
            </w:pPr>
            <w:r>
              <w:rPr>
                <w:rFonts w:ascii="Times New Roman" w:cs="Times New Roman" w:eastAsia="Times New Roman" w:hAnsi="Times New Roman"/>
                <w:sz w:val="18"/>
                <w:szCs w:val="18"/>
                <w:color w:val="auto"/>
              </w:rPr>
              <w:t>Common stock, no par value; unlimited shares authorized; 27,105 shares issued 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3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outstanding (2023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27,027)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equity/(deficit)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equity/(deficit)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and shares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PEDMARK product sales,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product sales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from operations</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(loss)/gain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expense</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from operations</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income/(loss) per common share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common share</w:t>
            </w:r>
          </w:p>
        </w:tc>
        <w:tc>
          <w:tcPr>
            <w:tcW w:w="8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 outstanding basic</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27,045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26,559</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diluted</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31,091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and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$ 144,307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$ 62,073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(219,245)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 employees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27,105</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$ 144,934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$ 63,245</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(206,408)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5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142,591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$ 56,797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(203,200)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 employees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release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26,411</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$ 142,804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$ 57,866</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(209,252)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income/(loss) to net cash provided by/(used in) operating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Norgine asset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access fees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PIK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 employees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 liability - Norgine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options exercise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 on restricted share release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Financed insurance policy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dollars and shares in thousands, except per share information)</w:t>
      </w:r>
    </w:p>
    <w:p>
      <w:pPr>
        <w:spacing w:after="0" w:line="203"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Liquidity</w:t>
      </w:r>
    </w:p>
    <w:p>
      <w:pPr>
        <w:spacing w:after="0" w:line="229"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Fennec Pharmaceuticals Inc. (“Fennec,” “the Company,” “we,” “us,” or “our”) was originally formed as a British Columbia corporation under the name Adherex Technologies Inc. and subsequently changed its name on September 3, 2014. Fennec, together with its wholly owned subsidiaries Oxiquant, Inc. (“Oxiquant”) and Fennec Pharmaceuticals, Inc., both Delaware corporations, and Cadherin Biomedical Inc. (“CBI”), a Canadian corporation and Fennec Pharmaceuticals (EU) Limited, an Irish Private Company Limited by Shares (“Fennec Limited”), collectively referred to herein as the “Company,” is a biopharmaceutical company with one U.S. Food and Drug Administration (“FDA”) approved product,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developed to reduce the risk of ototoxicity associated with cisplatin in pediatric patients one month of age and older with localized, non-metastatic solid tumors. With the exception of Fennec Pharmaceuticals, Inc., and Fennec Limited, all subsidiaries are inactive.</w:t>
      </w:r>
    </w:p>
    <w:p>
      <w:pPr>
        <w:spacing w:after="0" w:line="19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earned net income from operations of $13,743. On March 31, 2024, it had an accumulated deficit of $206,408 and had experienced positive cash flows from operating activities in the amount of $39,047 for the period ended March 31, 2024.</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1, 2022, the Company entered into a Securities Purchase Agreement (the “SPA”) with Petrichor Opportunities Fund I LP (the “Investor”) in connection with the issuance of up to $45,000 of senior secured floating rate convertible notes (the “Notes”), issuable in multiple tranches (the “Note Financing”). On August 19, 2022, the Company closed on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dated August 1, 2022. In connection with the first closing, the Company repaid in full its secured indebtedness with Bridge Bank in the amount of $5,000.</w:t>
      </w:r>
    </w:p>
    <w:p>
      <w:pPr>
        <w:spacing w:after="0" w:line="232" w:lineRule="exact"/>
        <w:rPr>
          <w:sz w:val="20"/>
          <w:szCs w:val="20"/>
          <w:color w:val="auto"/>
        </w:rPr>
      </w:pPr>
    </w:p>
    <w:p>
      <w:pPr>
        <w:jc w:val="both"/>
        <w:ind w:left="60" w:right="259"/>
        <w:spacing w:after="0" w:line="278" w:lineRule="auto"/>
        <w:rPr>
          <w:sz w:val="20"/>
          <w:szCs w:val="20"/>
          <w:color w:val="auto"/>
        </w:rPr>
      </w:pPr>
      <w:r>
        <w:rPr>
          <w:rFonts w:ascii="Times New Roman" w:cs="Times New Roman" w:eastAsia="Times New Roman" w:hAnsi="Times New Roman"/>
          <w:sz w:val="18"/>
          <w:szCs w:val="18"/>
          <w:color w:val="auto"/>
        </w:rPr>
        <w:t>On September 23, 2022, the Company closed on the second tranche of the Note Financing in the amount of $20,000 (the “Second Closing Note”), which has an Initial Conversion Price equal to $7.89 per share, which was calculated based on a 20% premium of the 5-day VWAP immediately prior to September 20, 2022, which was the date the Company obtained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both"/>
        <w:ind w:left="60" w:right="259"/>
        <w:spacing w:after="0" w:line="281" w:lineRule="auto"/>
        <w:rPr>
          <w:sz w:val="20"/>
          <w:szCs w:val="20"/>
          <w:color w:val="auto"/>
        </w:rPr>
      </w:pPr>
      <w:r>
        <w:rPr>
          <w:rFonts w:ascii="Times New Roman" w:cs="Times New Roman" w:eastAsia="Times New Roman" w:hAnsi="Times New Roman"/>
          <w:sz w:val="18"/>
          <w:szCs w:val="18"/>
          <w:color w:val="auto"/>
        </w:rPr>
        <w:t>The SPA provided that subsequent to the funding of the Second Closing Note, and before December 31, 2023, the Company could draw up to $20,000 of additional financing under the SPA, in one or more tranches of $10,000 upon mutual agreement of the Company and the Investor (the “Subsequent Closing Notes”). The Subsequent Closing Notes will be convertible at a price per share equal to $7.89 per share, which price is calculated on the same basis as for the Second Closing Note.</w:t>
      </w:r>
    </w:p>
    <w:p>
      <w:pPr>
        <w:spacing w:after="0" w:line="111" w:lineRule="exact"/>
        <w:rPr>
          <w:sz w:val="20"/>
          <w:szCs w:val="20"/>
          <w:color w:val="auto"/>
        </w:rPr>
      </w:pPr>
    </w:p>
    <w:p>
      <w:pPr>
        <w:jc w:val="both"/>
        <w:ind w:left="60" w:right="259"/>
        <w:spacing w:after="0" w:line="271" w:lineRule="auto"/>
        <w:rPr>
          <w:sz w:val="20"/>
          <w:szCs w:val="20"/>
          <w:color w:val="auto"/>
        </w:rPr>
      </w:pPr>
      <w:r>
        <w:rPr>
          <w:rFonts w:ascii="Times New Roman" w:cs="Times New Roman" w:eastAsia="Times New Roman" w:hAnsi="Times New Roman"/>
          <w:sz w:val="18"/>
          <w:szCs w:val="18"/>
          <w:color w:val="auto"/>
        </w:rPr>
        <w:t>A commitment fee of 2.0% of the Notes was payable under the SPA, which was paid by the Company issuing the Investor warrants to purchase 110,996 of the Company’s common shares (one half issued at the first closing and the other half issued at the second closing).The warrants are exercisable at a price per share of $8.11 and have a term of five years from the date of the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December 4, 2023, the Company closed a third tranche under the SPA in the amount of $5,000,000 and issued the Investor a Note in the same amount (the “Third Closing Note”). and the Third Closing Note is convertible at a price equal to $7.89 per share, calculated as a 20% premium of the 5-day volume weighted average price of the Company’s common shares as traded on the Nasdaq Capital Market immediately prior to September 20, 2022, which was the date the Company obtained FDA approval of PEDMARK®.</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Also on December 4, 2023, the Company entered into a First Amendment to the Securities Purchase Agreement (the “SPA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Amendment”) with the Investor, which, among other things, extends the period that the Company may draw the remaining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$15,000,000 under the SPA from December 31, 2023, to December 31, 2024. Subsequent draws are subject to mutual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of the Company and the Investor and will be represented by Notes that will also be convertible at a price equal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$7.89 per share.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March 17, 2024, the Company announced it had entered into an exclusive licensing agreement with Norgine Pharma</w:t>
      </w:r>
    </w:p>
    <w:p>
      <w:pPr>
        <w:ind w:left="60" w:right="59"/>
        <w:spacing w:after="0"/>
        <w:rPr>
          <w:sz w:val="20"/>
          <w:szCs w:val="20"/>
          <w:color w:val="auto"/>
        </w:rPr>
      </w:pPr>
      <w:r>
        <w:rPr>
          <w:rFonts w:ascii="Times New Roman" w:cs="Times New Roman" w:eastAsia="Times New Roman" w:hAnsi="Times New Roman"/>
          <w:sz w:val="18"/>
          <w:szCs w:val="18"/>
          <w:color w:val="auto"/>
        </w:rPr>
        <w:t>UK Limited (“Norgine”) to commercialize PEDMARQSI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(EU brand name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Europe, New Zealand and Australia. The licensing agreement provided Fennec with approximately $43.2 million up front and may provide Fennec with up to approximately $230 million in milestone and royalty payments in the future. ​</w:t>
      </w:r>
    </w:p>
    <w:p>
      <w:pPr>
        <w:spacing w:after="0" w:line="16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believes current funds provide sufficient funding for the Company to carry out its planned activities, including the continuation of commercialization efforts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at least the next twelve months.</w:t>
      </w:r>
    </w:p>
    <w:p>
      <w:pPr>
        <w:spacing w:after="0" w:line="2"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8"/>
          <w:szCs w:val="18"/>
          <w:color w:val="auto"/>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spacing w:after="0" w:line="183" w:lineRule="exact"/>
        <w:rPr>
          <w:sz w:val="20"/>
          <w:szCs w:val="20"/>
          <w:color w:val="auto"/>
        </w:rPr>
      </w:pPr>
    </w:p>
    <w:p>
      <w:pPr>
        <w:ind w:left="60" w:right="6279" w:hanging="10"/>
        <w:spacing w:after="0" w:line="503" w:lineRule="auto"/>
        <w:tabs>
          <w:tab w:leader="none" w:pos="37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consolidated financial statements and notes filed with the Securities and Exchange Commission (“SEC”) in the Company’s Annual Report on Form 10-K for the year ended December 31, 2023. The Company’s accounting policies are consistent with those presented in the audited consolidated financial statements included in the Annual Report on Form 10-K for the year ended December 31, 2023. These unaudited interim condensed consolidated financial statements have been prepared in U.S. dollars. All amounts presented are in thousands except for per share amounts.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 over the next twelve months from the date of issuance of the consolidated financial statements. Actual results could differ from those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principally in the United States. As of March 31, 2024, the Company had an operating lease in Ireland. This is the only asset located outside of the United States.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left="60" w:right="59"/>
        <w:spacing w:after="0" w:line="243" w:lineRule="auto"/>
        <w:rPr>
          <w:sz w:val="20"/>
          <w:szCs w:val="20"/>
          <w:color w:val="auto"/>
        </w:rPr>
      </w:pPr>
      <w:r>
        <w:rPr>
          <w:rFonts w:ascii="Times New Roman" w:cs="Times New Roman" w:eastAsia="Times New Roman" w:hAnsi="Times New Roman"/>
          <w:sz w:val="18"/>
          <w:szCs w:val="18"/>
          <w:color w:val="auto"/>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 The manufacturing costs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prior to regulatory approval were not capitalized as inventory but were expensed as research and development costs. The Company expensed pre-launch inventory as it could not reasonably anticipate FDA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commercialization of our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92"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88"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Costs to Obtain Contract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majority of the Company's contracts are short-term in nature, sales commissions are generally expensed when incurred as the amortization period would have been less than one year. These costs are recorded within selling and marketing expense in the consolidated statements of operations. For contracts that extend beyond one year, the incremental expense recognition matches the recognition of related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221"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On September 20, 2022, the FDA approved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to reduce the risk of ototoxicity associated with cisplatin in pediatric patients one month of age and older with localized, non-metastatic solid tumors.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became commercially available on October 17, 2022.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Company’s first commercial product. These specialty distributors subsequently resell the Company’s products to health care providers and patients. In addition to distribution agreements with Customers,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Sales Discounts and Allowances</w:t>
      </w:r>
    </w:p>
    <w:p>
      <w:pPr>
        <w:spacing w:after="0" w:line="229"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a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Company’s first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spacing w:after="0" w:line="17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contracted customers purchase directly from a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spacing w:after="0" w:line="182"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Discounts for Prompt Payment: </w:t>
      </w:r>
      <w:r>
        <w:rPr>
          <w:rFonts w:ascii="Times New Roman" w:cs="Times New Roman" w:eastAsia="Times New Roman" w:hAnsi="Times New Roman"/>
          <w:sz w:val="18"/>
          <w:szCs w:val="18"/>
          <w:color w:val="auto"/>
        </w:rPr>
        <w:t>The Customers receive a discount of 0.65% for prompt payment. The Company expects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will earn 100% of their prompt payment discounts and, therefore, the Company deducts the full amount of these discounts from total product sales when revenues are recognized.</w:t>
      </w:r>
    </w:p>
    <w:p>
      <w:pPr>
        <w:spacing w:after="0" w:line="173"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Allowances for rebates include mandated discounts under the Medicaid Drug Rebate Program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payer data received from the specialty distributors and historical utilization rates that will develop over time as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Company’s first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spacing w:after="0" w:line="19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Customer Credits: </w:t>
      </w:r>
      <w:r>
        <w:rPr>
          <w:rFonts w:ascii="Times New Roman" w:cs="Times New Roman" w:eastAsia="Times New Roman" w:hAnsi="Times New Roman"/>
          <w:sz w:val="18"/>
          <w:szCs w:val="18"/>
          <w:color w:val="auto"/>
        </w:rPr>
        <w:t>The Company pays fees to its Customers for account management, data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To the extent the services received are distinct from the sale of products to its Customers, the Company classifies these payments in selling and marketing expenses in its condensed consolidated statements of operations.</w:t>
      </w:r>
    </w:p>
    <w:p>
      <w:pPr>
        <w:spacing w:after="0" w:line="180"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Distribution and Other Fees: </w:t>
      </w:r>
      <w:r>
        <w:rPr>
          <w:rFonts w:ascii="Times New Roman" w:cs="Times New Roman" w:eastAsia="Times New Roman" w:hAnsi="Times New Roman"/>
          <w:sz w:val="18"/>
          <w:szCs w:val="18"/>
          <w:color w:val="auto"/>
        </w:rPr>
        <w:t>The Company pays distribution and other fees to certain customers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 records distribution and other 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spacing w:after="0" w:line="194"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The following table summarizes net product revenues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earned in the three months ended March 31, 2024 and 2023, respectively:</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0"/>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0"/>
                <w:szCs w:val="20"/>
                <w:color w:val="auto"/>
              </w:rPr>
            </w:pP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product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Discounts and allowances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product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had three distributors that each represented more than 10% of net sales.</w:t>
      </w:r>
    </w:p>
    <w:p>
      <w:pPr>
        <w:spacing w:after="0" w:line="154" w:lineRule="exact"/>
        <w:rPr>
          <w:sz w:val="20"/>
          <w:szCs w:val="20"/>
          <w:color w:val="auto"/>
        </w:rPr>
      </w:pPr>
    </w:p>
    <w:p>
      <w:pPr>
        <w:ind w:left="60" w:right="59"/>
        <w:spacing w:after="0" w:line="217" w:lineRule="auto"/>
        <w:rPr>
          <w:sz w:val="20"/>
          <w:szCs w:val="20"/>
          <w:color w:val="auto"/>
        </w:rPr>
      </w:pPr>
      <w:r>
        <w:rPr>
          <w:rFonts w:ascii="Times New Roman" w:cs="Times New Roman" w:eastAsia="Times New Roman" w:hAnsi="Times New Roman"/>
          <w:sz w:val="18"/>
          <w:szCs w:val="18"/>
          <w:color w:val="auto"/>
        </w:rPr>
        <w:t>The activities and ending allowance balances for each significant category of discounts and allowances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(which constitute variable consideration) for the three months ended March 31, 2024, was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related to sales made in:</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Current period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Prior periods</w:t>
      </w:r>
    </w:p>
    <w:p>
      <w:pPr>
        <w:spacing w:after="0" w:line="18" w:lineRule="exact"/>
        <w:rPr>
          <w:sz w:val="20"/>
          <w:szCs w:val="20"/>
          <w:color w:val="auto"/>
        </w:rPr>
      </w:pPr>
    </w:p>
    <w:p>
      <w:pPr>
        <w:ind w:left="60" w:right="1860"/>
        <w:spacing w:after="0" w:line="313" w:lineRule="auto"/>
        <w:rPr>
          <w:sz w:val="20"/>
          <w:szCs w:val="20"/>
          <w:color w:val="auto"/>
        </w:rPr>
      </w:pPr>
      <w:r>
        <w:rPr>
          <w:rFonts w:ascii="Times New Roman" w:cs="Times New Roman" w:eastAsia="Times New Roman" w:hAnsi="Times New Roman"/>
          <w:sz w:val="18"/>
          <w:szCs w:val="18"/>
          <w:color w:val="auto"/>
        </w:rPr>
        <w:t xml:space="preserve">Payments and customer credits issued </w:t>
      </w: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Chargebacks,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Rebates, Customer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Discounts for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Fees/Credits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Prompt pay and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Co-Pay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Other allowances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Assistance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1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365</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795</w:t>
            </w:r>
          </w:p>
        </w:tc>
      </w:tr>
      <w:tr>
        <w:trPr>
          <w:trHeight w:val="434"/>
        </w:trPr>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1,992</w:t>
            </w:r>
          </w:p>
        </w:tc>
      </w:tr>
      <w:tr>
        <w:trPr>
          <w:trHeight w:val="230"/>
        </w:trPr>
        <w:tc>
          <w:tcPr>
            <w:tcW w:w="100" w:type="dxa"/>
            <w:vAlign w:val="bottom"/>
          </w:tcPr>
          <w:p>
            <w:pPr>
              <w:spacing w:after="0"/>
              <w:rPr>
                <w:sz w:val="19"/>
                <w:szCs w:val="19"/>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(497)</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(601)</w:t>
            </w:r>
          </w:p>
        </w:tc>
      </w:tr>
      <w:tr>
        <w:trPr>
          <w:trHeight w:val="20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220</w:t>
            </w:r>
          </w:p>
        </w:tc>
        <w:tc>
          <w:tcPr>
            <w:tcW w:w="6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1,966</w:t>
            </w: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-607695</wp:posOffset>
            </wp:positionV>
            <wp:extent cx="564896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-316865</wp:posOffset>
            </wp:positionV>
            <wp:extent cx="564896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-899795</wp:posOffset>
            </wp:positionV>
            <wp:extent cx="564896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4640" w:space="720"/>
            <w:col w:w="3659"/>
          </w:cols>
          <w:pgMar w:left="1440" w:top="513" w:right="1440" w:bottom="1440" w:gutter="0" w:footer="0" w:header="0"/>
          <w:type w:val="continuous"/>
        </w:sect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The allowances for chargebacks, fees due to customers, rebates and discounts for prompt payment are recorded as a contra-asset to accounts receivable, while Medicaid rebates and return allowances are in accrued liabilities in the accompanying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records gross trade receivables at the time of product sale to its customers. Amounts estimated for the associated chargebacks, cash discounts for prompt payment and any allowances for credit losses are booked as a reserve against accounts receivable and reduction of revenue. The Company determines its allowance methodology by pooling receivable balances at the customer level. The Company considers various factors, including loss history, individual credit risk associated with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Customers in the United States are specialty distributors, and accordingly, the Company considers the risk of potential credit losses to be low. Sales abroad to non-specialty distributors have the potential for losses. It is the policy of the Company to use a sliding scale to establish a reserve of its gross sales to non-specialty distributors, based on aging category. The Company had a balance in allowance for credit losses of $1,103 as of March 31, 2024.</w:t>
      </w: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Products Sold</w:t>
      </w:r>
    </w:p>
    <w:p>
      <w:pPr>
        <w:spacing w:after="0" w:line="221" w:lineRule="exact"/>
        <w:rPr>
          <w:sz w:val="20"/>
          <w:szCs w:val="20"/>
          <w:color w:val="auto"/>
        </w:rPr>
      </w:pPr>
    </w:p>
    <w:p>
      <w:pPr>
        <w:jc w:val="both"/>
        <w:ind w:left="60" w:right="199"/>
        <w:spacing w:after="0" w:line="206" w:lineRule="auto"/>
        <w:rPr>
          <w:sz w:val="20"/>
          <w:szCs w:val="20"/>
          <w:color w:val="auto"/>
        </w:rPr>
      </w:pPr>
      <w:r>
        <w:rPr>
          <w:rFonts w:ascii="Times New Roman" w:cs="Times New Roman" w:eastAsia="Times New Roman" w:hAnsi="Times New Roman"/>
          <w:sz w:val="18"/>
          <w:szCs w:val="18"/>
          <w:color w:val="auto"/>
        </w:rPr>
        <w:t>Cost of products sold is related to the Company's product revenues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consists primarily of product production costs associated with finished goods inventory and royalty payments (1% of net sales) the Company is required to pay to Oregon Health &amp; Science University (“OHSU”) on all net sales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Cost of products sold also consists of shipping and other third-party logistics and distribution costs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 considered regulatory approval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be uncertain and product manufactured prior to regulatory approval could not have been sold unless regulatory approval was obtained. As such, the manufacturing costs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incurred prior to regulatory approval were not capitalized as inventory but were expensed as research and development costs. After FDA approval in September 2022, the Company had various lots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various stages of production in connection with the product launch in the fourth quarter of 2022. As of March 31, 2024, the Company capitalized approximately $2,064 of costs as inventory on the condensed consolidated balance sheet. Of the items capitalized, $774 was capitalized as work in process and raw materials, $1,290 was capitalized into finished goods, $550 of that being reclassified to cost of product sold.</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at the date of purchase of three months or less. The Company places its cash and cash equivalents in investments held by highly rated financial institutions in accordance with its investment policy designed to protect the principal investment. As of March 31, 2024, the Company had $51,184 in cash, savings and money market accounts ($13,269 at December 31, 2023). As of March 31, 2024, the Company held $1,314 in cash of which $363 (as presented in U.S. dollars) was held in foreign currencies ($570 at December 31, 2023 as presented in U.S. dollars). As of March 31, 2024, the Company held $49,870 in money market investments. Money market investments typically have minimal risks. While the Company has not experienced any loss or write-down of its money market investments, the amounts it holds in money market accounts are substantially above the $250 amount insured by the FDIC and may lose value.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recognized on the balance sheets at March 31, 2024 and December 31, 2023 consist of cash and cash equivalents, accounts receivable, accounts payable, accrued liabilities and term loans, the carrying values of which approximate fair value due to their relatively short time to maturity or interest rates that approximate market interest rates. The Company does not hold or issue financial instruments for trading.</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policy risks are primarily the opportunity cost of the conservative nature of the allowable investments. The Company has chosen to avoid investments of a trading or speculative nature to preserve cash.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Shares and 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0.2 million warrants with a weighted average strike price of $7.71 outstanding to purchase common shares that have a weighted average life of 3.80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Costs and Investment Tax Credits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ind w:left="60" w:right="19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primarily consist of cash and cash equivalents, and accounts receivable. The Company maintains deposits in highly-rated,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spacing w:after="0" w:line="176" w:lineRule="exact"/>
        <w:rPr>
          <w:sz w:val="20"/>
          <w:szCs w:val="20"/>
          <w:color w:val="auto"/>
        </w:rPr>
      </w:pPr>
    </w:p>
    <w:p>
      <w:pPr>
        <w:jc w:val="both"/>
        <w:ind w:left="60" w:right="199"/>
        <w:spacing w:after="0" w:line="226" w:lineRule="auto"/>
        <w:rPr>
          <w:sz w:val="20"/>
          <w:szCs w:val="20"/>
          <w:color w:val="auto"/>
        </w:rPr>
      </w:pPr>
      <w:r>
        <w:rPr>
          <w:rFonts w:ascii="Times New Roman" w:cs="Times New Roman" w:eastAsia="Times New Roman" w:hAnsi="Times New Roman"/>
          <w:sz w:val="18"/>
          <w:szCs w:val="18"/>
          <w:color w:val="auto"/>
        </w:rPr>
        <w:t>The Company’s trade receivables includes amounts billed to Customers for product sales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the U.S., the customers are a limited group of specialty distributors, and accordingly, the Company considers the risk of potential credit losses to be low. The Company also sells to a select group of global distributors. These global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distributors are established companies and although the Company regards credit losses with these distributors to be remote, it does recognize the potential for credit losses with this group.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March 31, 2024, we maintained a full valuation allowance against our deferred tax assets.</w:t>
      </w:r>
    </w:p>
    <w:p>
      <w:pPr>
        <w:spacing w:after="0" w:line="183"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U.S. dollar is the functional currency for the Company’s consolidated operations. All gains and losses from currency transactions are included in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Income/(Loss) Per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stock options and warrants, if dilutive, as determined using the if-converted method and treasury methods. Accordingly, warrants to purchase 116 of our common shares, restricted share units to purchase 214 of our common shares, convertible notes convertible into 2,968 of our common shares and options to purchase 1,702 of our common shares at March 31, 2024, were not included in earnings per share. Such warrants, options and convertible notes would have an antidilutive effect. In 2023, warrants to purchase 150 of our common shares, convertible notes convertible into 3,127 of our common shares and options to purchase 5,032 common shares were excluded from the computation of loss per share as their inclusion would have been antidilutive.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2023-09, </w:t>
      </w:r>
      <w:r>
        <w:rPr>
          <w:rFonts w:ascii="Times New Roman" w:cs="Times New Roman" w:eastAsia="Times New Roman" w:hAnsi="Times New Roman"/>
          <w:sz w:val="18"/>
          <w:szCs w:val="18"/>
          <w:color w:val="auto"/>
        </w:rPr>
        <w:t>“Income Taxes (Topic</w:t>
      </w:r>
      <w:r>
        <w:rPr>
          <w:rFonts w:ascii="Times New Roman" w:cs="Times New Roman" w:eastAsia="Times New Roman" w:hAnsi="Times New Roman"/>
          <w:sz w:val="18"/>
          <w:szCs w:val="18"/>
          <w:i w:val="1"/>
          <w:iCs w:val="1"/>
          <w:color w:val="auto"/>
        </w:rPr>
        <w:t xml:space="preserve"> 740</w:t>
      </w:r>
      <w:r>
        <w:rPr>
          <w:rFonts w:ascii="Times New Roman" w:cs="Times New Roman" w:eastAsia="Times New Roman" w:hAnsi="Times New Roman"/>
          <w:sz w:val="18"/>
          <w:szCs w:val="18"/>
          <w:color w:val="auto"/>
        </w:rPr>
        <w:t>): Improvements to Income Tax Disclosures,” which improves the transparency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income tax disclosures by requiring consistent categories and greater disaggregation of information in the effective tax rate reconciliation and income taxes paid disaggregated by jurisdiction. This guidance will be effective for the annual periods beginning the year ended </w:t>
      </w:r>
      <w:r>
        <w:rPr>
          <w:rFonts w:ascii="Times New Roman" w:cs="Times New Roman" w:eastAsia="Times New Roman" w:hAnsi="Times New Roman"/>
          <w:sz w:val="18"/>
          <w:szCs w:val="18"/>
          <w:i w:val="1"/>
          <w:iCs w:val="1"/>
          <w:color w:val="auto"/>
        </w:rPr>
        <w:t>December 31, 2025.</w:t>
      </w:r>
      <w:r>
        <w:rPr>
          <w:rFonts w:ascii="Times New Roman" w:cs="Times New Roman" w:eastAsia="Times New Roman" w:hAnsi="Times New Roman"/>
          <w:sz w:val="18"/>
          <w:szCs w:val="18"/>
          <w:color w:val="auto"/>
        </w:rPr>
        <w:t xml:space="preserve"> The Company is currently evaluating the effect the adoption of this ASU will have on its consolidated financial statements.</w:t>
      </w:r>
    </w:p>
    <w:p>
      <w:pPr>
        <w:spacing w:after="0" w:line="18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On March 21, 2024, the FASB issued Accounting Standards Update (ASU) 2024-01,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718): Scope Application of Profits Interest and Similar Awards</w:t>
      </w:r>
      <w:r>
        <w:rPr>
          <w:rFonts w:ascii="Times New Roman" w:cs="Times New Roman" w:eastAsia="Times New Roman" w:hAnsi="Times New Roman"/>
          <w:sz w:val="18"/>
          <w:szCs w:val="18"/>
          <w:color w:val="auto"/>
        </w:rPr>
        <w:t>, which provides illustrative guidance to help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profits interest and similar awards should be accounted for as share-based payment arrangements within the scope of FASB Accounting Standards Codification (FASB ASC) 718, Compensation-Stock Compensation. The Company believes that ASU 2024-01 will not have a material impact on the Company’s condensed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Income/(loss) per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Income/(loss) per common share is presented under two formats: basic income/(loss) per common share and diluted income/(loss) per common share. Basic income/(loss) per common share is computed by dividing net 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stock options and warrants. The following table sets forth the computation of basic and diluted net income/(loss) per share (in thousands except per share data):</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restricted share units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convertible debt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dilutive shares</w:t>
            </w:r>
          </w:p>
        </w:tc>
        <w:tc>
          <w:tcPr>
            <w:tcW w:w="1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diluted</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income/(loss) per share, basic and diluted</w:t>
            </w: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outstanding convertible debt, options and warrants were excluded from the computation of basic and diluted net income/(loss) per share for the periods presented because including them would have had an anti-dilutive effect:</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to purchase common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 to purchase common shares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2" w:lineRule="exact"/>
        <w:rPr>
          <w:sz w:val="20"/>
          <w:szCs w:val="20"/>
          <w:color w:val="auto"/>
        </w:rPr>
      </w:pPr>
    </w:p>
    <w:p>
      <w:pPr>
        <w:jc w:val="both"/>
        <w:ind w:left="60" w:right="7019" w:hanging="10"/>
        <w:spacing w:after="0" w:line="532" w:lineRule="auto"/>
        <w:tabs>
          <w:tab w:leader="none" w:pos="37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Authorized Capital Stock</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authorized capital stock consists of an unlimited number of common shares, no par value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there were no warrants issued or exercised. Outstanding warrants have a weighted average life of 3.80 years on March 31, 2024. The following tables detail the Company’s warrant activity for the three months ended March 31, 2024, and 2023, respectively: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 Exercise</w:t>
            </w:r>
          </w:p>
        </w:tc>
        <w:tc>
          <w:tcPr>
            <w:tcW w:w="2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1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 Exercise</w:t>
            </w:r>
          </w:p>
        </w:tc>
        <w:tc>
          <w:tcPr>
            <w:tcW w:w="2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1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Board of Directors administers the Company’s equity incentive plan (the “Plan”). The Compensation Committee designates eligible participants to be included under the Plan and approves the number of equity instruments to be granted from time to time under the Plan. Currently, the maximum number of equity instruments issuable under the Plan, together with the Company’s prior stock option plan, is twenty-five percent (25%) of the total number of issued and outstanding common shares. Based upon shares outstanding as of March 31, 2024, a maximum of 6,776 shares of common stock are authorized for issuance pursuant to stock options or other equity awards granted under the Plan. For all options issued under the Plan, the exercise price is the fair value of the underlying shares on the date of grant. All options vest within three years or less and are exercisable for a period of ten years from the date of grant. The Plan allows the issuance of Canadian and U.S. dollar grants. The table below outlines recognized employee expense from equity awards for the three-month period ended March 31, 2024, and 2023.</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options expense recognized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option expense recognized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option activity for the three months ended March 31, 2024, and 2023.</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26"/>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(thousands)</w:t>
            </w:r>
          </w:p>
        </w:tc>
        <w:tc>
          <w:tcPr>
            <w:tcW w:w="14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23"/>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4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2024</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(thousands)</w:t>
            </w:r>
          </w:p>
        </w:tc>
        <w:tc>
          <w:tcPr>
            <w:tcW w:w="140" w:type="dxa"/>
            <w:vAlign w:val="bottom"/>
          </w:tcPr>
          <w:p>
            <w:pPr>
              <w:spacing w:after="0"/>
              <w:rPr>
                <w:sz w:val="15"/>
                <w:szCs w:val="15"/>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0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4,768 options granted and outstanding at March 31, 2024, 3,857 are fully vested and exercisable.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value of options issued was estimated using the Black-Scholes option pricing model using the assumptions in the table below. The expected volatility was determined using historical volatility of our stock based on the expected term of the award.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Black-Scholes Model Assumptions</w:t>
            </w:r>
          </w:p>
        </w:tc>
        <w:tc>
          <w:tcPr>
            <w:tcW w:w="2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24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4.73 </w:t>
            </w:r>
            <w:r>
              <w:rPr>
                <w:rFonts w:ascii="Times New Roman" w:cs="Times New Roman" w:eastAsia="Times New Roman" w:hAnsi="Times New Roman"/>
                <w:sz w:val="19"/>
                <w:szCs w:val="19"/>
                <w:color w:val="auto"/>
              </w:rPr>
              <w:t>%</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9"/>
                <w:szCs w:val="19"/>
                <w:color w:val="auto"/>
              </w:rPr>
              <w:t>%</w:t>
            </w: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years</w:t>
            </w:r>
          </w:p>
        </w:tc>
      </w:tr>
      <w:tr>
        <w:trPr>
          <w:trHeight w:val="42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Share Units Activity</w:t>
            </w:r>
          </w:p>
        </w:tc>
        <w:tc>
          <w:tcPr>
            <w:tcW w:w="2120" w:type="dxa"/>
            <w:vAlign w:val="bottom"/>
          </w:tcPr>
          <w:p>
            <w:pPr>
              <w:spacing w:after="0"/>
              <w:rPr>
                <w:sz w:val="24"/>
                <w:szCs w:val="24"/>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Plan allows for the issuance of restricted share units (“RSUs”). The following is a summary of RSU activity for the three months ended March 31, 2024, and 2023. During the three months ended March 31, 2024, 17 RSUs were awarded, 21 were released from restriction and none were forfeited. For the same period in 2023, 264 RSUs were awarded, 1 was released from restriction and none were forfeited. The Company recognized $0.3 million in RSU expense for the three months ended March 31, 2024, and $0.03 million for the same period in 2023. Standard vesting of RSUs is over three years with 1/3 vesting on the first anniversary date of the grant and then 1/24 on the last day of each subsequent month. The Compensation Committee may also award RSUs with alternative vesting.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RSUs Current Year</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Restricted</w:t>
            </w:r>
          </w:p>
        </w:tc>
        <w:tc>
          <w:tcPr>
            <w:tcW w:w="0" w:type="dxa"/>
            <w:vAlign w:val="bottom"/>
          </w:tcPr>
          <w:p>
            <w:pPr>
              <w:spacing w:after="0"/>
              <w:rPr>
                <w:sz w:val="1"/>
                <w:szCs w:val="1"/>
                <w:color w:val="auto"/>
              </w:rPr>
            </w:pPr>
          </w:p>
        </w:tc>
      </w:tr>
      <w:tr>
        <w:trPr>
          <w:trHeight w:val="234"/>
        </w:trPr>
        <w:tc>
          <w:tcPr>
            <w:tcW w:w="696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 Units (thousands)</w:t>
            </w:r>
          </w:p>
        </w:tc>
        <w:tc>
          <w:tcPr>
            <w:tcW w:w="0" w:type="dxa"/>
            <w:vAlign w:val="bottom"/>
          </w:tcPr>
          <w:p>
            <w:pPr>
              <w:spacing w:after="0"/>
              <w:rPr>
                <w:sz w:val="1"/>
                <w:szCs w:val="1"/>
                <w:color w:val="auto"/>
              </w:rPr>
            </w:pPr>
          </w:p>
        </w:tc>
      </w:tr>
      <w:tr>
        <w:trPr>
          <w:trHeight w:val="210"/>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2024</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RSUs Past Year</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Restricted</w:t>
            </w:r>
          </w:p>
        </w:tc>
        <w:tc>
          <w:tcPr>
            <w:tcW w:w="0" w:type="dxa"/>
            <w:vAlign w:val="bottom"/>
          </w:tcPr>
          <w:p>
            <w:pPr>
              <w:spacing w:after="0"/>
              <w:rPr>
                <w:sz w:val="1"/>
                <w:szCs w:val="1"/>
                <w:color w:val="auto"/>
              </w:rPr>
            </w:pPr>
          </w:p>
        </w:tc>
      </w:tr>
      <w:tr>
        <w:trPr>
          <w:trHeight w:val="234"/>
        </w:trPr>
        <w:tc>
          <w:tcPr>
            <w:tcW w:w="696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 Units (thousands)</w:t>
            </w:r>
          </w:p>
        </w:tc>
        <w:tc>
          <w:tcPr>
            <w:tcW w:w="0" w:type="dxa"/>
            <w:vAlign w:val="bottom"/>
          </w:tcPr>
          <w:p>
            <w:pPr>
              <w:spacing w:after="0"/>
              <w:rPr>
                <w:sz w:val="1"/>
                <w:szCs w:val="1"/>
                <w:color w:val="auto"/>
              </w:rPr>
            </w:pPr>
          </w:p>
        </w:tc>
      </w:tr>
      <w:tr>
        <w:trPr>
          <w:trHeight w:val="210"/>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value of RSUs issued was estimated using the share price on the date of the award multiplied by the number of shares granted.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7" w:lineRule="exact"/>
        <w:rPr>
          <w:sz w:val="20"/>
          <w:szCs w:val="20"/>
          <w:color w:val="auto"/>
        </w:rPr>
      </w:pPr>
    </w:p>
    <w:p>
      <w:pPr>
        <w:jc w:val="both"/>
        <w:ind w:left="60" w:right="199"/>
        <w:spacing w:after="0" w:line="25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the Processa Pharmaceuticals, Inc (“Processa”) common shares held by the Company by taking into consideration valuations obtained from public financial markets. The Company uses Yahoo Finance to obtain share price data and Oanda for foreign currency pricing services to estimate fair value. These inputs include reported trades of and broker- dealer quotes on the same or similar securities, issuer credit spreads, benchmark securities and other observable inputs.</w:t>
      </w:r>
    </w:p>
    <w:p>
      <w:pPr>
        <w:spacing w:after="0" w:line="187" w:lineRule="exact"/>
        <w:rPr>
          <w:sz w:val="20"/>
          <w:szCs w:val="20"/>
          <w:color w:val="auto"/>
        </w:rPr>
      </w:pPr>
    </w:p>
    <w:p>
      <w:pPr>
        <w:jc w:val="both"/>
        <w:ind w:left="60" w:right="179"/>
        <w:spacing w:after="0" w:line="263" w:lineRule="auto"/>
        <w:rPr>
          <w:sz w:val="20"/>
          <w:szCs w:val="20"/>
          <w:color w:val="auto"/>
        </w:rPr>
      </w:pPr>
      <w:r>
        <w:rPr>
          <w:rFonts w:ascii="Times New Roman" w:cs="Times New Roman" w:eastAsia="Times New Roman" w:hAnsi="Times New Roman"/>
          <w:sz w:val="18"/>
          <w:szCs w:val="18"/>
          <w:color w:val="auto"/>
        </w:rPr>
        <w:t>As of March 31, 2024, the Company had financial assets valued based on Level 1 inputs consisting of cash and cash equivalents and had financial assets based on Level 2 inputs consisting of Processa common shares. During the three months ended March 31, 2024, the Company did not have any transfers of financial assets between Levels 1 and 2.</w:t>
      </w: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0" w:type="dxa"/>
            <w:vAlign w:val="bottom"/>
            <w:tcBorders>
              <w:bottom w:val="single" w:sz="8" w:color="auto"/>
            </w:tcBorders>
            <w:gridSpan w:val="1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 at March 31, 2024 and December 31, 2023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 in Active</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4"/>
            <w:vMerge w:val="restart"/>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for Identical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$ 1,314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7"/>
                <w:szCs w:val="17"/>
                <w:color w:val="auto"/>
              </w:rPr>
              <w:t xml:space="preserve">$ 1,340 </w:t>
            </w:r>
            <w:r>
              <w:rPr>
                <w:rFonts w:ascii="Times New Roman" w:cs="Times New Roman" w:eastAsia="Times New Roman" w:hAnsi="Times New Roman"/>
                <w:sz w:val="25"/>
                <w:szCs w:val="25"/>
                <w:color w:val="auto"/>
                <w:vertAlign w:val="subscript"/>
              </w:rPr>
              <w:t>(1)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11,929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$51,184</w:t>
            </w: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Processa common shares</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w w:val="96"/>
              </w:rPr>
              <w:t>$25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7"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held approximately $1,314 in cash as of March 31, 2024, of which approximately $363 was held in foreign currencies (translated into U.S. dollars). As of December 31, 2023, the Company held approximately $1,340 in cash of which approximately $570 was in foreign currencies (translated into U.S. dollars).</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holds 41 unrestricted common shares of Processa (NASDAQ:PCSA)</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Oregon Health &amp; Science University Agreement</w:t>
      </w:r>
    </w:p>
    <w:p>
      <w:pPr>
        <w:spacing w:after="0" w:line="148" w:lineRule="exact"/>
        <w:rPr>
          <w:sz w:val="20"/>
          <w:szCs w:val="20"/>
          <w:color w:val="auto"/>
        </w:rPr>
      </w:pPr>
    </w:p>
    <w:p>
      <w:pPr>
        <w:jc w:val="both"/>
        <w:ind w:left="60" w:right="59"/>
        <w:spacing w:after="0" w:line="230" w:lineRule="auto"/>
        <w:rPr>
          <w:sz w:val="20"/>
          <w:szCs w:val="20"/>
          <w:color w:val="auto"/>
        </w:rPr>
      </w:pPr>
      <w:r>
        <w:rPr>
          <w:rFonts w:ascii="Times New Roman" w:cs="Times New Roman" w:eastAsia="Times New Roman" w:hAnsi="Times New Roman"/>
          <w:sz w:val="18"/>
          <w:szCs w:val="18"/>
          <w:color w:val="auto"/>
        </w:rPr>
        <w:t>On February 20, 2013, Fennec entered into a new exclusive license agreement with OHSU for exclusive worldwide license rights to intellectual property directed to thiol-based compounds, including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their use in oncology (the "OHSU Agreement"). OHSU will receive certain milestone payments, royalty on net sales for licensed products and a royalty on any consideration received from sublicensing of the licensed technology.</w:t>
      </w:r>
    </w:p>
    <w:p>
      <w:pPr>
        <w:spacing w:after="0" w:line="198"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On May 18, 2015, Fennec negotiated an amendment ("Amendment 1") to the OHSU Agreement, which expands Fennec's exclusive license to include the use of N-acetylcysteine as a standalone therapy and/or in combination with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0" w:lineRule="auto"/>
        <w:rPr>
          <w:sz w:val="20"/>
          <w:szCs w:val="20"/>
          <w:color w:val="auto"/>
        </w:rPr>
      </w:pPr>
      <w:r>
        <w:rPr>
          <w:rFonts w:ascii="Times New Roman" w:cs="Times New Roman" w:eastAsia="Times New Roman" w:hAnsi="Times New Roman"/>
          <w:sz w:val="18"/>
          <w:szCs w:val="18"/>
          <w:color w:val="auto"/>
        </w:rPr>
        <w:t>licensed product. Certain milestone payments are due upon FDA approval and achievement of sufficient positive EBITDA over a specified period.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received FDA approval in September 2022, however at this time, due to significant uncertainty surrounding timing and magnitude of certain milestones, the Company has only recorded a royalty liability associated with net revenue.</w:t>
      </w:r>
    </w:p>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term of the OHSU Agreement as amended by Amendment 1 expires on the date of the last to expire claim(s) covered in the patents licensed to Fennec or 8 years, whichever is later. The Company now has a licensed product with regulatory approval that is covered by the Orphan Drug Designation, the parties amended the term of the agreement. Sodium thiosulfate is currently protected by methods of use patents that the Company exclusively licensed from OHSU that expired in Europe in 2021 and that expire in the United States in 2038. The OHSU Agreement is terminable by either Fennec or OHSU in the event of a material breach of the agreement by either party after 45 days prior written notice. Fennec also has the right to terminate the OHSU Agreement at any time upon 60 days prior written notice and payment of all fees due to OHSU under the OHSU Agreement. The Company had accrued approximately $77 (1% net sales) in royalty expense to OHSU for the period ended March 31, 2024. Total amount accrued in royalty expense to OHSU as of March 31, 2024 was $314.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Hope Medical Enterprises, Inc. Inter Partes Review (IPR) Challenges</w:t>
      </w:r>
    </w:p>
    <w:p>
      <w:pPr>
        <w:spacing w:after="0" w:line="227"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On October 29, 2021, Hope Medical Enterprises, Inc. (“Hope”) filed a Petition for inter partes review (IPR2022-00123) with the Patent Trial and Appeal Board (“PTAB”) of the USPTO to invalidate U.S. Patent No. 10,596,190 (the “‘190 Patent”), which is exclusively in-licensed from Oregon Health &amp; Science University (“OHSU”) and relates to a method of using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‘190 Patent was issued on March 24, 2020. On April 18, 2023, the PTAB invalidated the only claim of the‘190 Patent. The final written decision became effective June 20, 2023. The ‘190 Patent was previously listed in the United States Approved Drug Products with Therapeutic Equivalence Evaluations (also known as the “Orange Book”). In light of PTAB’s final written decision on the invalidity of the ‘190 Patent, we requested that the FDA remove the ’190 Patent from the Orange Book. Two United States patent applications claiming priority through the ‘190 Patent remain pending at the United States Patent and Trademark Office (“USPTO”).</w:t>
      </w:r>
    </w:p>
    <w:p>
      <w:pPr>
        <w:spacing w:after="0" w:line="197"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On October 29, 2021, Hope Medical Enterprises, Inc. (“Hope”) filed a Petition for inter partes review (IPR2022-00125) to invalidate our wholly owned U.S. Patent No. 10,792,363 (the “’363 Patent”), which relates to an anhydrous form of STS and its method of manufacture, which is the active pharmaceutical ingredient in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The ‘363 Patent was issued October 6, 2020. During the ‘363 IPR, we disclaimed the patent claims directed to the anhydrous morphic form of STS and continued with claims directed to its method of manufacture. Because the remaining claims in the ‘363 patent are directed to a method of manufacture, the ‘363 patent is not eligible for listing in the Orange Book. In September 2023, the PTAB issued a Final Written Decision in favor of Fennec and upholding the amended claim.</w:t>
      </w:r>
    </w:p>
    <w:p>
      <w:pPr>
        <w:spacing w:after="0" w:line="192" w:lineRule="exact"/>
        <w:rPr>
          <w:sz w:val="20"/>
          <w:szCs w:val="20"/>
          <w:color w:val="auto"/>
        </w:rPr>
      </w:pPr>
    </w:p>
    <w:p>
      <w:pPr>
        <w:jc w:val="both"/>
        <w:ind w:left="60" w:right="59"/>
        <w:spacing w:after="0" w:line="215" w:lineRule="auto"/>
        <w:rPr>
          <w:sz w:val="20"/>
          <w:szCs w:val="20"/>
          <w:color w:val="auto"/>
        </w:rPr>
      </w:pPr>
      <w:r>
        <w:rPr>
          <w:rFonts w:ascii="Times New Roman" w:cs="Times New Roman" w:eastAsia="Times New Roman" w:hAnsi="Times New Roman"/>
          <w:sz w:val="18"/>
          <w:szCs w:val="18"/>
          <w:color w:val="auto"/>
        </w:rPr>
        <w:t>The USPTO has now granted four additional U.S. patents that cover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formulation and its use, each of which have been, or are in the process of being, listed in the U.S. FDA’s “Orange Book” (U.S. Patent No. 11,291,728 (issued April 5, 2022), U.S. Patent No. 11,510,984 (issued November 29, 2022), U.S. Patent No. 11,617,793 (issued April 4, 2023), and U.S. Patent No. 11,964,018 (issued April 23, 2024)). The USPO has also recently allowed two additional patent applications (U.S. Patent Application Nos. 17/992,703 and 17/992,707) that cover the use of the PEDMARK® formulation. Five additional United States patent applications from this family are pending at the USPTO covering various sodium thiosulfate formulations and uses. We plan to vigorously defend our intellectual property rights to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if challenged. An invalidation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have a material adverse effect on our ability to protect our rights in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beyond periods of marketing exclusivity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under Orphan Drug Designation.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CIPLA Litigation</w:t>
      </w:r>
    </w:p>
    <w:p>
      <w:pPr>
        <w:spacing w:after="0" w:line="227" w:lineRule="exact"/>
        <w:rPr>
          <w:sz w:val="20"/>
          <w:szCs w:val="20"/>
          <w:color w:val="auto"/>
        </w:rPr>
      </w:pPr>
    </w:p>
    <w:p>
      <w:pPr>
        <w:jc w:val="both"/>
        <w:ind w:left="60" w:right="59"/>
        <w:spacing w:after="0" w:line="232" w:lineRule="auto"/>
        <w:rPr>
          <w:sz w:val="20"/>
          <w:szCs w:val="20"/>
          <w:color w:val="auto"/>
        </w:rPr>
      </w:pPr>
      <w:r>
        <w:rPr>
          <w:rFonts w:ascii="Times New Roman" w:cs="Times New Roman" w:eastAsia="Times New Roman" w:hAnsi="Times New Roman"/>
          <w:sz w:val="18"/>
          <w:szCs w:val="18"/>
          <w:color w:val="auto"/>
        </w:rPr>
        <w:t>On December 1, 2022, we received a letter dated November 30, 2022, notifying us that CIPLA Ltd. and CIPLA USA (“CIPLA”) submitted to the FDA an ANDA (ANDA No. 218028) for a generic version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solution) that contains Paragraph IV Certifications on two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OHSU</w:t>
      </w:r>
    </w:p>
    <w:p>
      <w:pPr>
        <w:sectPr>
          <w:pgSz w:w="11900" w:h="16838" w:orient="portrait"/>
          <w:cols w:equalWidth="0" w:num="1">
            <w:col w:w="9019"/>
          </w:cols>
          <w:pgMar w:left="1440" w:top="513" w:right="1440"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certifications allege these patents are invalid or will not be infringed by the manufacture, use, or sale of CIPLA’s sodium thiosulfate solution.</w:t>
      </w:r>
    </w:p>
    <w:p>
      <w:pPr>
        <w:spacing w:after="0" w:line="200" w:lineRule="exact"/>
        <w:rPr>
          <w:sz w:val="20"/>
          <w:szCs w:val="20"/>
          <w:color w:val="auto"/>
        </w:rPr>
      </w:pPr>
    </w:p>
    <w:p>
      <w:pPr>
        <w:jc w:val="both"/>
        <w:ind w:left="60" w:right="59"/>
        <w:spacing w:after="0" w:line="224" w:lineRule="auto"/>
        <w:rPr>
          <w:sz w:val="20"/>
          <w:szCs w:val="20"/>
          <w:color w:val="auto"/>
        </w:rPr>
      </w:pPr>
      <w:r>
        <w:rPr>
          <w:rFonts w:ascii="Times New Roman" w:cs="Times New Roman" w:eastAsia="Times New Roman" w:hAnsi="Times New Roman"/>
          <w:sz w:val="18"/>
          <w:szCs w:val="18"/>
          <w:color w:val="auto"/>
        </w:rPr>
        <w:t>Under the Food and Drug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to the 30-month stay, because we have received Orphan Drug Exclusivity, the FDA may not approve CIPLA’s ANDA for at least 7 years from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FDA approval date of September 20, 2022.</w:t>
      </w:r>
    </w:p>
    <w:p>
      <w:pPr>
        <w:spacing w:after="0" w:line="204"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On January 10, 2023, we filed suit against the CIPLA entities in the United States District Court for the District of New Jersey (Case No. 2:23-cv-00123), for infringement of the ‘190 Patent, the ‘728 Patent, and the ‘984 Patent. On April 20, 2023, we filed an Amended Complaint to assert infringement of the ‘728 patent and the ‘984 Patent. On April 4, 2023, we were granted US 11,617,793 Patent (the “’793 Patent”) covering the formulation of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which was listed in the Orange Book on or around April 17, 2023, and has an expiration date of July 2039. On May 11, 2023, we received written notice of CIPLA’s Paragraph IV Certification as to the ’793 Patent, which was dated May 10, 2023, along with an enclosed statement of alleged factual and legal bases for stating that the ’793 Patent is invalid, unenforceable, and/or will not be infringed by CIPLA’s ANDA Product. On July 27, 2023, we filed a Second Amended Complaint to assert the ‘793 Patent. CIPLA filed an Answer to the Second Amended Complaint on August 31, 2023. The suit is ongoing.</w:t>
      </w:r>
    </w:p>
    <w:p>
      <w:pPr>
        <w:spacing w:after="0" w:line="188"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(EU Brand name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received European Commission approval in June 2023 and was granted 10 years of market exclusivity in Europe under Pediatric Use (“PUMA”).</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Severance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event of termination of Mr. Raykov's (Chief Executive Officer) employment with the Company other than for cause, the Company will be obligated to pay him a one-time severance payment equal to twelve months of salary (currently $608). In the event of termination of Mr. Andrade’s (Chief Financial Officer) employment with the Company other than for cause, the Company will be obligated to pay him a one-time severance payment equal to six months of salary (currently $220). In the event of termination of Mr. Haigh’s (Chief Operating Officer) employment with the Company other than for cause, the Company will be obligated to pay him a one-time severance payment equal to three months of salary (currently $112 as translated to US dollars at March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terminates on January 31,</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2025, thereafter the lease may continue on a month-to-month basis with either party being able to terminate the agreement by providing one months’ advance written notice of termination.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Second Office Service Agreement does not provide an implicit rate, and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150 basis points for operating leases that commenced after August 2023. The depreciable lives of operating leases and leasehold improvements are limited by the expected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Remaining lease terms (in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Maturities of lease liabilities as of December 31, 2023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56489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407"/>
        </w:trPr>
        <w:tc>
          <w:tcPr>
            <w:tcW w:w="340" w:type="dxa"/>
            <w:vAlign w:val="bottom"/>
          </w:tcPr>
          <w:p>
            <w:pPr>
              <w:spacing w:after="0"/>
              <w:rPr>
                <w:sz w:val="24"/>
                <w:szCs w:val="24"/>
                <w:color w:val="auto"/>
              </w:rPr>
            </w:pPr>
          </w:p>
        </w:tc>
        <w:tc>
          <w:tcPr>
            <w:tcW w:w="2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846"/>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r>
        <w:trPr>
          <w:trHeight w:val="191"/>
        </w:trPr>
        <w:tc>
          <w:tcPr>
            <w:tcW w:w="340" w:type="dxa"/>
            <w:vAlign w:val="bottom"/>
          </w:tcPr>
          <w:p>
            <w:pPr>
              <w:spacing w:after="0"/>
              <w:rPr>
                <w:sz w:val="16"/>
                <w:szCs w:val="16"/>
                <w:color w:val="auto"/>
              </w:rPr>
            </w:pPr>
          </w:p>
        </w:tc>
        <w:tc>
          <w:tcPr>
            <w:tcW w:w="20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17</w:t>
            </w:r>
          </w:p>
        </w:tc>
      </w:tr>
      <w:tr>
        <w:trPr>
          <w:trHeight w:val="234"/>
        </w:trPr>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94"/>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816" w:lineRule="exact"/>
        <w:rPr>
          <w:sz w:val="20"/>
          <w:szCs w:val="20"/>
          <w:color w:val="auto"/>
        </w:rPr>
      </w:pPr>
    </w:p>
    <w:p>
      <w:pPr>
        <w:sectPr>
          <w:pgSz w:w="11900" w:h="16838" w:orient="portrait"/>
          <w:cols w:equalWidth="0" w:num="2">
            <w:col w:w="6240" w:space="300"/>
            <w:col w:w="2479"/>
          </w:cols>
          <w:pgMar w:left="1440" w:top="513" w:right="1440" w:bottom="1440" w:gutter="0" w:footer="0" w:header="0"/>
          <w:type w:val="continuous"/>
        </w:sectPr>
      </w:pPr>
    </w:p>
    <w:p>
      <w:pPr>
        <w:spacing w:after="0" w:line="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March 31, 2024, the Company does not offer matching contributions.</w:t>
      </w:r>
    </w:p>
    <w:p>
      <w:pPr>
        <w:spacing w:after="0" w:line="176"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1, 2022, the Company entered into the SPA with the Investor in connection with the issuance of up to $45,000 of Notes, issuable in multiple tranches (see Note 1). On August 19, 2022, the Company closed on the initial tranche of $5,000, which has an Initial Conversion Price equal to $8.11 per share, which was calculated based on a 20% premium of the 5-day VWAP immediately prior to the announcement of the SPA. In connection with the first closing, the Company repaid in full its secured indebtedness with Bridge Bank in the amount of $5,000. The Notes become due on the maturity date, which is August 19, 2027.</w:t>
      </w:r>
    </w:p>
    <w:p>
      <w:pPr>
        <w:spacing w:after="0" w:line="187"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color w:val="auto"/>
        </w:rPr>
        <w:t>On September 23, 2022, the Company closed on the second tranche of the Note Financing in the amount of $20,000, which has an Initial Conversion Price equal to $7.89 per share, which was calculated based on a 20% premium of the 5-day VWAP immediately prior to the date the Company obtained FDA approval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 to the funding of the Second Closing Note, and before December 31, 2023, the Company may draw up to $20,000 of additional financing under the SPA, in one or more tranches of $10,000 upon mutual agreement of the Company</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the Investor (the “Subsequent Closing Notes”). The Subsequent Closing Notes will be convertible at a price per share equal to $7.89 per share, which price is calculated on the same basis as for the Second Closing Note.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commitment fee of 2.0% of the Notes was payable under the SPA, which was paid by the Company issuing the Investor warrants to purchase 110,996 of the Company’s common shares (one half issued at the first closing and the other half issued at the second closing). The warrants are exercisable at a price per share of $8.11 and have a term of five years from the date of the grant.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4, 2023, the Company closed a third tranche under the SPA in the amount of $5,000,000 and issued the Investor a Note in the same amount (the “Third Closing Note”). and the Third Closing Note is convertible at a price equal to $7.89 per share, which price was calculated on the same basis as the Second Closing Note.</w:t>
      </w:r>
    </w:p>
    <w:p>
      <w:pPr>
        <w:spacing w:after="0" w:line="20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on December 4, 2023, the Company entered into the SPA Amendment, which, among other things, extends the period that the Company may draw the remaining $15,000,000 under the SPA from December 31, 2023, to December 31, 2024. Subsequent draws are subject to mutual agreement of the Company and the Investor and will be represented by Notes that will also be convertible at a price equal to $7.89 per share.</w:t>
      </w:r>
    </w:p>
    <w:p>
      <w:pPr>
        <w:spacing w:after="0" w:line="7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Cash interest on outstanding principal shall accrue at a rate of prime, plus 4.5% per annum, from the date of funding (11% as of March 31, 2024). Cash interest is due on the first business day of each calendar quarter (“Interest Date”). Payment-in-kind (“PIK”) interest will commence on funding date and accrue at a rate of 3.5% per annum. PIK interest will stop accruing on August 24, 2024. Any accrued PIK interest shall remain outstanding and be payable on each Interest Date and be added to the outstanding principal amount. The Company has accrued $1.6 million in PIK interest and has classified the PIK interest in long-term liabilities.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convertible into fully paid, non-assessable shares of the Company’s common shares at any point after their issuance dates and before the maturity date. Any amount of the Notes may be converted into common shares so long as it does not create partial shares. The conversion rate is determined by dividing the conversion amount by the conversion price. Provisions of the SPA create legal, valid and enforceable liens on, and security interests in, all of the Company’s and each of its subsidiaries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annual payments under the SPA as of December 31, 2023,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in kind interest</w:t>
            </w:r>
          </w:p>
        </w:tc>
        <w:tc>
          <w:tcPr>
            <w:tcW w:w="160" w:type="dxa"/>
            <w:vAlign w:val="bottom"/>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10"/>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future payments</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31,617</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6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term loan, net of debt discount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31,349</w:t>
            </w: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of default or change of control, all unpaid principal and all accrued and unpaid interest amounts (if any) become immediately due and payable. Events of default include, but are not limited to, a payment default, a material adverse change, and insolvency. The SPA facility is secured by all of the Company’s assets, including all capital stock held by the Company.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Debt issuance costs of $175 were paid in cash for legal fees and to the Investor in 2022 and warrants valued at $441 were granted the Investor to secure access to the SPA. These amounts were capitalized and are being amortized over the access period of the SPA. Upon drawing tranche 1 and tranche 2, the Company recorded a debt discount of $314, which was based on a pro-rata allocation of the issue costs to secure the SPA, reducing the capitalized amount by the same amount. The debt discount is being amortized over the life of the SPA.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License Agreement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Norgine Pharma UK Limited</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17, 2024, the Company announced that, through its wholly-owned subsidiary, Fennec Pharmaceuticals, Inc. entered into a License and Supply Agreement (the “Agreement”) with Norgine Pharma UK Limited (“Norgine”), pursuant to which Norgine is granted an exclusive license to commercialize the Company’s product PEDMARQSI® (known as PEDMARK® in the United States) for all human indications in the European Economic Area, Switzerland, the United Kingdom, Australia and New Zealand (collectively, the “Territory”).</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w:t>
      </w:r>
    </w:p>
    <w:p>
      <w:pPr>
        <w:spacing w:after="0" w:line="1" w:lineRule="exact"/>
        <w:rPr>
          <w:sz w:val="20"/>
          <w:szCs w:val="20"/>
          <w:color w:val="auto"/>
        </w:rPr>
      </w:pPr>
    </w:p>
    <w:p>
      <w:pPr>
        <w:jc w:val="both"/>
        <w:ind w:left="60" w:right="59" w:hanging="10"/>
        <w:spacing w:after="0" w:line="253" w:lineRule="auto"/>
        <w:tabs>
          <w:tab w:leader="none" w:pos="3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evaluated the Norgine License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three months ended March 31, 2024, the Company did not recognize any milestone or royalty revenue payments to from the Norgine sales of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Agreement.</w:t>
      </w:r>
    </w:p>
    <w:p>
      <w:pPr>
        <w:spacing w:after="0" w:line="7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conjunction with entering into the Agreement, the Company paid approximately $1.7 million in incremental costs, which were capitalized and recorded within Other non-current assets. The Company amortizes the asset over the period of expected benefit using a systematic basis that reflects the pattern of transfer to the customer. A portion that represents the license was recognized immediately and is recorded within selling and marketing expense in the consolidated statements of operations. As of March 31, 2024, $1.0 million in incremental cost was capitalized.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this filing and concluded there are no events of significance which require disclosure.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Annual Report on Form 10-K for the fiscal year ended December 31, 2023, filed with the SEC on March 29, 2024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the Company’s plans and strategy for its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 on Form 10-K for the year ended December 31, 2023, and the condensed consolidated financial statements and accompanying notes included elsewhere in this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left="60" w:right="59"/>
        <w:spacing w:after="0" w:line="204"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our only product candidate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On September 20, 2022, we received approval from the U.S. Food and Drug Administration (“FDA”)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injection) to reduce the risk of ototoxicity associated with cisplatin in pediatric patients one month of age and older with localized, non-metastatic solid tumors. This approval makes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first and only treatment approved by the FDA in this area of significant unmet medical need. On October 17, 2022, we announced commercial availability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Further, 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 name outside of U.S.) received European Commission Marketing Authorization in June 2023 and received U.K. approval in October 2023.</w:t>
      </w:r>
    </w:p>
    <w:p>
      <w:pPr>
        <w:spacing w:after="0" w:line="205"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 xml:space="preserve">In March 2024, we announced that we entered into an agreement with Norgine, a leading European specialist pharmaceutical company. This is an exclusive licensing agreement under which Norgine will commercialize </w:t>
      </w:r>
      <w:r>
        <w:rPr>
          <w:rFonts w:ascii="Times New Roman" w:cs="Times New Roman" w:eastAsia="Times New Roman" w:hAnsi="Times New Roman"/>
          <w:sz w:val="18"/>
          <w:szCs w:val="18"/>
          <w:i w:val="1"/>
          <w:iCs w:val="1"/>
          <w:color w:val="auto"/>
        </w:rPr>
        <w:t>PEDMARQSI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Europe, Australia and New Zealand.</w:t>
      </w:r>
      <w:r>
        <w:rPr>
          <w:rFonts w:ascii="Times New Roman" w:cs="Times New Roman" w:eastAsia="Times New Roman" w:hAnsi="Times New Roman"/>
          <w:sz w:val="18"/>
          <w:szCs w:val="18"/>
          <w:i w:val="1"/>
          <w:iCs w:val="1"/>
          <w:color w:val="auto"/>
        </w:rPr>
        <w:t xml:space="preserve"> PEDMARQSI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first and only approved therapy in the EU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for the prevention of ototoxicity (hearing loss) induced by cisplatin chemotherapy in patients 1 month to &lt; 18 years of age with localized, non-metastatic solid tumors.</w:t>
      </w:r>
    </w:p>
    <w:p>
      <w:pPr>
        <w:spacing w:after="0" w:line="202"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 xml:space="preserve">Under the terms of the licensing agreement, we received approximately $43.2 million in upfront consideration and may receive up to approximately $230 million in additional commercial and regulatory milestone payments and double-digit tiered royalties on net sales of </w:t>
      </w:r>
      <w:r>
        <w:rPr>
          <w:rFonts w:ascii="Times New Roman" w:cs="Times New Roman" w:eastAsia="Times New Roman" w:hAnsi="Times New Roman"/>
          <w:sz w:val="18"/>
          <w:szCs w:val="18"/>
          <w:i w:val="1"/>
          <w:iCs w:val="1"/>
          <w:color w:val="auto"/>
        </w:rPr>
        <w:t>PEDMARQSI</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in the licensed territories up to the mid-twenties. Norgine will be responsible for all commercialization activities in the licensed territories and will hold all marketing authorizations in the licensed territories.</w:t>
      </w:r>
    </w:p>
    <w:p>
      <w:pPr>
        <w:spacing w:after="0" w:line="194"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We sell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through an experienced field force including Regional Pediatric Oncology Specialists and medical science liaisons who are helping to educate the medical communities and patients about cisplatin induced ototoxicity and our programs supporting patient access to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Sales outside of the U.S. are through experienced distributors which market and promote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developing markets.</w:t>
      </w:r>
    </w:p>
    <w:p>
      <w:pPr>
        <w:sectPr>
          <w:pgSz w:w="11900" w:h="16838" w:orient="portrait"/>
          <w:cols w:equalWidth="0" w:num="1">
            <w:col w:w="9019"/>
          </w:cols>
          <w:pgMar w:left="1440" w:top="513" w:right="1440"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Further, we have established Fennec HEARS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comprehensive single source program designed to connect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patients to both patient financial and product access support. The program offers assistance and resources, regardless of insurance type, that can address co-pays or lack of coverage when certain eligibility requirements are met. Fennec HEARS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also provides access to care coordinators that can answer insurance questions about coverage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provide tips and resources for managing treatment.</w:t>
      </w:r>
    </w:p>
    <w:p>
      <w:pPr>
        <w:spacing w:after="0" w:line="194"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7"/>
          <w:szCs w:val="17"/>
          <w:color w:val="auto"/>
        </w:rPr>
        <w:t>We received Orphan Drug Exclusivity for PEDMARK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January 2023, which provides seven years of market exclusivity in the United States from its FDA approval on September 20, 2022, until September 20, 2029. The USPTO has now granted four additional U.S. patents that cover the PEDMARK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formulation and its use, each of which have been, or are in the process of being, listed in the U.S. FDA’s “Orange Book” (U.S. Patent No. 11,291,728 (issued April 5, 2022), U.S. Patent No. 11,510,984 (issued November 29, 2022), U.S. Patent No. 11,617,793 (issued April 4, 2023), and U.S. Patent No. 11,964,018 (issued April 23, 2024)). The USPO has also recently allowed two additional patent applications (U.S. Patent Application Nos. 17/992,703 and 17/992,707) that cover the use of the PEDMARK® formulation. Five additional United States patent applications from this family are pending at the USPTO covering various sodium thiosulfate formulations and uses. We are also pursuing additional patent applications in both the U.S. and internationally for PEDMARK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do not or will not infringe on patents held by third parties or that third parties in the future will not claim that we have infringed on their patents. In the event that our product or technologies infringe or violate the patent or other proprietary rights of third parties, there is a possibility we may be prevented from pursuing product development, manufacturing or commercialization of our product until the underlying patent dispute is resolved. For example, there may be patents or patent applications held by others that contain claims that our product or operations might be determined to infringe or that may be broader than we believe them to be. Given the complexities and uncertainties of patent laws, there can be no assurance as to the impact that future patent claims against us may have on our business, financial condition, results of operations, or prospects.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PEDMARK</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Product Overview</w:t>
      </w:r>
    </w:p>
    <w:p>
      <w:pPr>
        <w:spacing w:after="0" w:line="137"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and only therapy approved by the FDA indicated to reduce the risk of ototoxicity associated with cisplatin treatment in pediatric patients with localized, non-metastatic, solid tumors. It is a unique formulation of sodium thiosulfate in single-dose, ready-to-use vials for intravenous use in pediatric patients.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also the only therapeutic agent with proven efficacy and safety data with an established dosing paradigm, across two open-label, randomized Phase 3 clinical studies, the Clinical Oncology Group (“COG”) Protocol ACCL0431 and SIOPEL 6.</w:t>
      </w:r>
    </w:p>
    <w:p>
      <w:pPr>
        <w:spacing w:after="0" w:line="20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U.S. and Europe, it is estimated that more than 10,000 children annually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179"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Cisplatin Induced Ototoxicity</w:t>
      </w:r>
    </w:p>
    <w:p>
      <w:pPr>
        <w:spacing w:after="0" w:line="27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incidence of ototoxicity depends upon the dose and duration of chemotherapy, and many of these children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spacing w:after="0" w:line="22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have obtained applicable regulatory approval to sell PEDMARK® in the United States and approval for PEDMARQSI in Europe and U.K., we recognize there may still be a need to establish collaborations that provide us with up-front payments, licensing fees, milestone payments, royalties or other revenue.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generated net income of approximately $12.8 million for the three months ended March 31, 2024, and a net loss of $6.1 million for the same period in 2023. As of March 31, 2024, our accumulated deficit was approximately $206.4 million ($219.2 million at December 31, 2023).</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2024, which totaled $51.2 million and cash from product sales, will be sufficient to meet our cash requirements through at least the next twelve months. We anticipate the Norgine licensing deal will alleviate the need to find alternative sources of financing and help us to fund operations while we expand our markets to areas outside of U.S., Europe, Australia and New Zealand. We continue to look to establish collaborations that will provide us with funding for the out-license or sale of certain aspects of our intellectual property portfolio or from other sources.</w:t>
      </w:r>
    </w:p>
    <w:p>
      <w:pPr>
        <w:spacing w:after="0" w:line="18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Our operating expenses will depend on many factors, including the progress of our commercialization efforts and efficiency of our operations and current resources. Our research and development expenses, which include expenses associated with our clinical trials, drug manufacturing to support clinical programs, consulting fees, sponsored research costs, toxicology studies, license fees, milestone payments, and other fees and costs related to the commercialization of our product, will depend on the availability of financial resources, the results of our clinical trials, and any directives from regulatory agencies, which are difficult to predict. Our general and administration expenses include expenses associated with the compensation of employees, stock-based compensation, professional fees, consulting fees, insurance and other administrative matters associated in support primarily of our commercialization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2024 versus three months ended March 31,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00" w:type="dxa"/>
            <w:vAlign w:val="bottom"/>
          </w:tcPr>
          <w:p>
            <w:pPr>
              <w:spacing w:after="0"/>
              <w:rPr>
                <w:sz w:val="13"/>
                <w:szCs w:val="13"/>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PEDMARK product sales, net</w:t>
            </w:r>
          </w:p>
        </w:tc>
        <w:tc>
          <w:tcPr>
            <w:tcW w:w="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from operations</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$ 18,889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720" w:right="7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net product sales of $7.4 million and $18.0 million in licensing revenue related to the Norgine transaction for the three-month period ended March 31, 2024, compared to $1.7 million in product sales and no licensing revenue for the same period in 2023. The Company recorded discounts and allowances against sales in the amount of $2.1 million and cost of products sold of $0.6 million for the three-month period ended March 31, 2024. For the same period in 2023, the Company recorded $0.2 million in discounts and allowances and $0.1 million in cost of goods sold.</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include distribution costs, logistics, shipping and insurance, advertising, wages commissions and out-of-pocket expenses. The Company recorded $5.2 million in selling and marketing expenses for the period ended March 31, 2024, compared to $2.5 million for the same period in 2023. The increase is largely related to increased payroll and additional marketing expenses in the comparable period.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$1.6 million increase in general and administrative expenses for the three-months ended March 31, 2024, compared to same period in 2023. There was an increase in consulting and professional costs of approximately $1.7 million for the three-months ended March 31, 2024, compared to same period in 2023 which is largely attributable to increased European pre-commercialization related expenses.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Processa Pharmaceuticals, Inc. (“Processa”) shares held by us declined by $0.01 million for three-months ended March 31, 2024. The shares declined in value by $0.03 during same period in 2023. We acquired the Processa shares on October 30, 2020. The Processa shares are marked to market at each balance sheet date with the resulting change in value being booked as an unrealized gain or loss.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decreased by $0.1 million for three-months ended March 31, 2024, over same period in 2023.</w:t>
      </w:r>
    </w:p>
    <w:p>
      <w:pPr>
        <w:spacing w:after="0" w:line="161"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expenses increased by $0.2 million for the three-month ended March 31, 2024 compared to same period in 2023. The increase was driven mainly by higher average debt balances and higher interest rates on long-term debt.</w:t>
      </w:r>
    </w:p>
    <w:p>
      <w:pPr>
        <w:spacing w:after="0" w:line="175"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$0.1 million for the three-months ended March 31, 2024, as compared to same period in 2023, due to higher rates on money market accounts for the comparable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Quarterly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condensed financial data for each of the last eight quarters through March 31, 2024, as prepared under generally accepted accounting principles within the United States, or U.S. GAAP (dollars in thousands, except per share information):</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3"/>
                <w:szCs w:val="13"/>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Net (Loss)/Income for the</w:t>
            </w:r>
          </w:p>
        </w:tc>
        <w:tc>
          <w:tcPr>
            <w:tcW w:w="120" w:type="dxa"/>
            <w:vAlign w:val="bottom"/>
          </w:tcPr>
          <w:p>
            <w:pPr>
              <w:spacing w:after="0"/>
              <w:rPr>
                <w:sz w:val="13"/>
                <w:szCs w:val="13"/>
                <w:color w:val="auto"/>
              </w:rPr>
            </w:pPr>
          </w:p>
        </w:tc>
        <w:tc>
          <w:tcPr>
            <w:tcW w:w="17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Basic Net (Loss)/Income per</w:t>
            </w:r>
          </w:p>
        </w:tc>
        <w:tc>
          <w:tcPr>
            <w:tcW w:w="120" w:type="dxa"/>
            <w:vAlign w:val="bottom"/>
          </w:tcPr>
          <w:p>
            <w:pPr>
              <w:spacing w:after="0"/>
              <w:rPr>
                <w:sz w:val="13"/>
                <w:szCs w:val="13"/>
                <w:color w:val="auto"/>
              </w:rPr>
            </w:pP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Diluted Net (Loss)/Income per</w:t>
            </w:r>
          </w:p>
        </w:tc>
        <w:tc>
          <w:tcPr>
            <w:tcW w:w="0" w:type="dxa"/>
            <w:vAlign w:val="bottom"/>
          </w:tcPr>
          <w:p>
            <w:pPr>
              <w:spacing w:after="0"/>
              <w:rPr>
                <w:sz w:val="1"/>
                <w:szCs w:val="1"/>
                <w:color w:val="auto"/>
              </w:rPr>
            </w:pPr>
          </w:p>
        </w:tc>
      </w:tr>
      <w:tr>
        <w:trPr>
          <w:trHeight w:val="173"/>
        </w:trPr>
        <w:tc>
          <w:tcPr>
            <w:tcW w:w="3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7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120" w:type="dxa"/>
            <w:vAlign w:val="bottom"/>
          </w:tcPr>
          <w:p>
            <w:pPr>
              <w:spacing w:after="0"/>
              <w:rPr>
                <w:sz w:val="15"/>
                <w:szCs w:val="15"/>
                <w:color w:val="auto"/>
              </w:rPr>
            </w:pPr>
          </w:p>
        </w:tc>
        <w:tc>
          <w:tcPr>
            <w:tcW w:w="19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Share</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(8,089)</w:t>
            </w:r>
          </w:p>
        </w:tc>
        <w:tc>
          <w:tcPr>
            <w:tcW w:w="12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(6,052)</w:t>
            </w:r>
          </w:p>
        </w:tc>
        <w:tc>
          <w:tcPr>
            <w:tcW w:w="12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(5,444)</w:t>
            </w:r>
          </w:p>
        </w:tc>
        <w:tc>
          <w:tcPr>
            <w:tcW w:w="1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Asset and Liability Data (thousands):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3"/>
        </w:trPr>
        <w:tc>
          <w:tcPr>
            <w:tcW w:w="3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Working capital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[Current assets – current liabilities]</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Equity:</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Common stock and additional paid in capital</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208,179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Cash and cash equivalents were $51,184 as of March 31, 2024, and $13,269 at December 31, 2023. The increase in cash and cash equivalents between March 31, 2024, and December 31, 2023, is the result of cash outlays for operating expenses related to the promotion of our product, small amounts of research and development and general and administrative expenses, which were offset by cash inflows of $43,204 from Norgine licensing deal, cash collections on product sales of $3,115 and cash inflows of $627 from various option exercises. There was an increase of $3,398 in other current assets between March 31, 2024, and December 31, 2023, and an increase in current liabilities of $2,283. The overall result was an increase in working capital of $39,030.</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illustrates a summary of cash flows data for the three-month periods of March 31, 2024 and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Selected Cash Flow Data</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7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(dollars and shares in thousands)</w:t>
            </w:r>
          </w:p>
        </w:tc>
        <w:tc>
          <w:tcPr>
            <w:tcW w:w="16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0"/>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primarily reflected a net income of $12,837. The three-month income was adjusted for the add back of non-cash items consisting of $1,191 in stock-based compensation expense, with unrealized loss on securities of $11, PIK interest of $398 and amortization expense of $743 for the three months ended March 31, 2024. For the three months ended March 31, 2024, there was a net increase in accounts receivable, inventory, prepaid and other assets of $3,414; coupled with a net increase in current liabilities of $27,281. Approximately, $25,246 of this increase relates to deferred revenue associated with the Norgine transaction.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Three-month positive cash flows from operating activities were $39,047 and negative 5,577, respectively, for the periods ended March 31, 2024, and 2023. Net cash used in financing activities for the three months ended March 31, 2024, was $1,132. During the same period in 2023, there were various equity exercises resulting in cash inflows from financing activities of $193. Net cash flows from the three month-periods ended March 31, 2024 and 2023, were positive $37,915 and negative $5,384, respectively.</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results of our research and development activities;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Share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outstanding share data as of March 31, 2024 and December 31, 2023 was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Share Type</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invest excess cash and cash equivalents in high credit quality investments held by financial institutions in accordance with our investment policy designed to protect the principal investment. As of March 31, 2024, we had approximately $1.3 million in our cash accounts and $49.9 million in savings and money market accounts. While we have never experienced any loss or write down of our money market investments since our inception, the amounts we hold in money market accounts are substantially above the $250,000 amount insured by the FDIC and may lose value.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Since our inception, we have not had any material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None, other than the OHSU Agreement, lease agreements, and severance amounts described in notes to our condensed consolidated financial statements contained elsewhere in this Quarterly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three months ended March 31, 2024.</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fiscal years ended March 31, 2024, we used the following weighted average assumptions: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Black-Scholes Model Assumptions</w:t>
            </w:r>
          </w:p>
        </w:tc>
        <w:tc>
          <w:tcPr>
            <w:tcW w:w="2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24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4.73 </w:t>
            </w:r>
            <w:r>
              <w:rPr>
                <w:rFonts w:ascii="Times New Roman" w:cs="Times New Roman" w:eastAsia="Times New Roman" w:hAnsi="Times New Roman"/>
                <w:sz w:val="19"/>
                <w:szCs w:val="19"/>
                <w:color w:val="auto"/>
              </w:rPr>
              <w:t>%</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9"/>
                <w:szCs w:val="19"/>
                <w:color w:val="auto"/>
              </w:rPr>
              <w:t>%</w:t>
            </w: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years</w:t>
            </w: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shares and warrants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Newly Adopted and Recent Accounting Pronouncements</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In December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Accounting Standards Board issued Accounting Standards Update No.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the annual periods beginning the year ended December </w:t>
      </w:r>
      <w:r>
        <w:rPr>
          <w:rFonts w:ascii="Times New Roman" w:cs="Times New Roman" w:eastAsia="Times New Roman" w:hAnsi="Times New Roman"/>
          <w:sz w:val="18"/>
          <w:szCs w:val="18"/>
          <w:i w:val="1"/>
          <w:iCs w:val="1"/>
          <w:color w:val="auto"/>
        </w:rPr>
        <w:t>31, 2025.</w:t>
      </w:r>
      <w:r>
        <w:rPr>
          <w:rFonts w:ascii="Times New Roman" w:cs="Times New Roman" w:eastAsia="Times New Roman" w:hAnsi="Times New Roman"/>
          <w:sz w:val="18"/>
          <w:szCs w:val="18"/>
          <w:color w:val="auto"/>
        </w:rPr>
        <w:t xml:space="preserve"> The Company is currently evaluating the effect the adoption of this ASU will have on the consolidated financial statements.</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On March 21, 2024, the FASB issued Accounting Standards Update (ASU) 2024-01,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718): Scope Application of Profits Interest and Similar Awards</w:t>
      </w:r>
      <w:r>
        <w:rPr>
          <w:rFonts w:ascii="Times New Roman" w:cs="Times New Roman" w:eastAsia="Times New Roman" w:hAnsi="Times New Roman"/>
          <w:sz w:val="18"/>
          <w:szCs w:val="18"/>
          <w:color w:val="auto"/>
        </w:rPr>
        <w:t>, which provides illustrative guidance to help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profits interest and similar awards should be accounted for as share-based payment arrangements within the scope of FASB Accounting Standards Codification (FASB ASC) 718, Compensation-Stock Compensation. The Company believes that ASU 2024-01 will not have a material impact on its condensed consolidated financial statements.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Controls and Procedures.</w:t>
      </w:r>
    </w:p>
    <w:p>
      <w:pPr>
        <w:spacing w:after="0" w:line="225" w:lineRule="exact"/>
        <w:rPr>
          <w:sz w:val="20"/>
          <w:szCs w:val="20"/>
          <w:color w:val="auto"/>
        </w:rPr>
      </w:pPr>
    </w:p>
    <w:p>
      <w:pPr>
        <w:ind w:left="1020" w:hanging="97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management, with the participation of our Chief Executive Officer and Chief Financial Officer, has conducted an evaluation of the effectiveness of the Company’s disclosure controls and procedures (as defined in Rule 13a-15(e) and 15d-15(e) under the Securities Exchange Act of 1934, as amended (the "Exchange Act") as of December 31, 2023. The Company’s disclosure controls and procedures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for timely decisions regarding required disclosures. In designing and evaluating our disclosure controls and procedures, the Company’s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the Company’s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this evaluation, the Company's Chief Executive Officer and Chief Financial Officer have concluded that, as of December 31, 2023, the Company's disclosure controls and procedures were not effective because of a material weakness in the Company's internal control over financial reporting related to fees and allowances paid to distributors for distinct services.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management evaluated the effectiveness of its internal control over financial reporting based on the framework in Internal Control-Integrated Framework issued by the Committee of Sponsoring Organizations of the Treadway Commission (2013 framework). Based on that evaluation, the Company’s management has concluded that, as of December 31, 2023, our internal controls over financial reporting were not effective because of the existence of a material weakness in internal control over financial reporting related to fees and allowances paid to distributors for distinct services.</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 material weakness is defined as a deficiency or combination of deficiencies in internal control over financial reporting such that there is a reasonable possibility that a material misstatement of annual or interim consolidated financial statements will not be prevented or detected on a timely basis.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With respect to the fees and allowances paid to distributors for distinct services, the execution of the controls over the application of accounting literature did not operate effectively with respect to:</w:t>
      </w:r>
    </w:p>
    <w:p>
      <w:pPr>
        <w:spacing w:after="0" w:line="162" w:lineRule="exact"/>
        <w:rPr>
          <w:sz w:val="20"/>
          <w:szCs w:val="20"/>
          <w:color w:val="auto"/>
        </w:rPr>
      </w:pPr>
    </w:p>
    <w:p>
      <w:pPr>
        <w:ind w:left="1180" w:right="79" w:hanging="374"/>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classification of fees paid to customers for distinct services under ASC 606 Revenue from Contracts with Customers.</w:t>
      </w:r>
    </w:p>
    <w:p>
      <w:pPr>
        <w:spacing w:after="0" w:line="161" w:lineRule="exact"/>
        <w:rPr>
          <w:rFonts w:ascii="Times New Roman" w:cs="Times New Roman" w:eastAsia="Times New Roman" w:hAnsi="Times New Roman"/>
          <w:sz w:val="18"/>
          <w:szCs w:val="18"/>
          <w:color w:val="auto"/>
        </w:rPr>
      </w:pPr>
    </w:p>
    <w:p>
      <w:pPr>
        <w:ind w:left="1180" w:right="79" w:hanging="374"/>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services received and expensed in a reporting period, measurement of services that pertain to future periods, and the periods of attribution for those future services.</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is evaluating the material weaknesses and developing a plan of remediation to strengthen the effectiveness of the design and operation of its internal control environment. The remediation plan will include the following actions:</w:t>
      </w:r>
    </w:p>
    <w:p>
      <w:pPr>
        <w:spacing w:after="0" w:line="162" w:lineRule="exact"/>
        <w:rPr>
          <w:sz w:val="20"/>
          <w:szCs w:val="20"/>
          <w:color w:val="auto"/>
        </w:rPr>
      </w:pPr>
    </w:p>
    <w:p>
      <w:pPr>
        <w:ind w:left="1180" w:right="79" w:hanging="374"/>
        <w:spacing w:after="0" w:line="282"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formality of its review procedures with respect to accounting for new contracts with customers.</w:t>
      </w:r>
    </w:p>
    <w:p>
      <w:pPr>
        <w:spacing w:after="0" w:line="161" w:lineRule="exact"/>
        <w:rPr>
          <w:rFonts w:ascii="Times New Roman" w:cs="Times New Roman" w:eastAsia="Times New Roman" w:hAnsi="Times New Roman"/>
          <w:sz w:val="18"/>
          <w:szCs w:val="18"/>
          <w:color w:val="auto"/>
        </w:rPr>
      </w:pPr>
    </w:p>
    <w:p>
      <w:pPr>
        <w:jc w:val="both"/>
        <w:ind w:left="1180" w:right="79" w:hanging="374"/>
        <w:spacing w:after="0" w:line="266"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review process to improve the operation of accounting and review controls with respect to complex and non-recurring transactions, as well as those transactions that require significant estimates and judgments.</w:t>
      </w:r>
    </w:p>
    <w:p>
      <w:pPr>
        <w:spacing w:after="0" w:line="175" w:lineRule="exact"/>
        <w:rPr>
          <w:rFonts w:ascii="Times New Roman" w:cs="Times New Roman" w:eastAsia="Times New Roman" w:hAnsi="Times New Roman"/>
          <w:sz w:val="18"/>
          <w:szCs w:val="18"/>
          <w:color w:val="auto"/>
        </w:rPr>
      </w:pPr>
    </w:p>
    <w:p>
      <w:pPr>
        <w:ind w:left="1180" w:right="79" w:hanging="374"/>
        <w:spacing w:after="0" w:line="282"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additional service providers or hiring additional full-time employees may be necessary and advisable to address these weaknesses.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actions that the Company is taking are subject to ongoing senior management review as well as Audit Committee oversight. The Company is committed to maintaining a strong internal control environment and believes that these remediation efforts will represent significant improvements in its controls. The Company has started to implement these steps; however, some of these steps will take time to be fully integrated and confirmed to be effective and sustainable. Additional controls may also be required over time. Until the remediation steps set forth above are fully implemented and tested, the material weakness described above will continue to exist.</w:t>
      </w:r>
    </w:p>
    <w:p>
      <w:pPr>
        <w:spacing w:after="0" w:line="183" w:lineRule="exact"/>
        <w:rPr>
          <w:sz w:val="20"/>
          <w:szCs w:val="20"/>
          <w:color w:val="auto"/>
        </w:rPr>
      </w:pPr>
    </w:p>
    <w:p>
      <w:pPr>
        <w:ind w:left="980" w:hanging="930"/>
        <w:spacing w:after="0"/>
        <w:tabs>
          <w:tab w:leader="none" w:pos="98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implementing changes in our internal control over financial reporting (as defined in Rules 13a-15(f) and 15d-15(f) under the Exchange Act) but does not believe any of these changes, as of the period covered by this Quarterly Report on Form 10-Q has materially affected, or is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PART II: OTHER INFORMATION</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Hope Medical Enterprises, Inc. Inter Partes Review (IPR) Challenges</w:t>
      </w:r>
    </w:p>
    <w:p>
      <w:pPr>
        <w:spacing w:after="0" w:line="227"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On October 29, 2021, Hope Medical Enterprises, Inc. (“Hope”) filed a Petition for inter partes review (IPR2022-00123) with the Patent Trial and Appeal Board (“PTAB”) of the USPTO to invalidate U.S. Patent No. 10,596,190 (the “‘190 Patent”), which is exclusively in-licensed from Oregon Health &amp; Science University (“OHSU”) and relates to a method of using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‘190 Patent was issued on March 24, 2020. On April 18, 2023, the PTAB invalidated the only claim of the‘190 Patent. The final written decision became effective June 20, 2023. The ‘190 Patent was previously listed in the United States Approved Drug Products with Therapeutic Equivalence Evaluations (also known as the “Orange Book”). In light of PTAB’s final written decision on the invalidity of the ‘190 Patent, we requested that the FDA remove the ’190 Patent from the Orange Book. Two United States patent applications claiming priority through the ‘190 Patent remain pending at the United States Patent and Trademark Office (“USPTO”).</w:t>
      </w:r>
    </w:p>
    <w:p>
      <w:pPr>
        <w:spacing w:after="0" w:line="19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October 29, 2021, Hope Medical Enterprises, Inc. (“Hope”) filed a Petition for inter partes review (IPR2022-00125) to invalidate our wholly owned U.S. Patent No. 10,792,363 (the “’363 Patent”), which relates to an anhydrous form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STS and its method of manufacture, which is the active pharmaceutical ingredient in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The ‘363 Patent was issued October 6, 2020. During the ‘363 IPR, we disclaimed the patent claims directed to the anhydrous morphic form of STS and continued with claims directed to its method of manufacture. Because the remaining claims in the ‘363 patent are directed to a method of manufacture, the ‘363 patent is not eligible for listing in the Orange Book. In September 2023, the PTAB issued a Final Written Decision in favor of Fennec and upholding the amended claim.</w:t>
      </w:r>
    </w:p>
    <w:p>
      <w:pPr>
        <w:spacing w:after="0" w:line="193" w:lineRule="exact"/>
        <w:rPr>
          <w:sz w:val="20"/>
          <w:szCs w:val="20"/>
          <w:color w:val="auto"/>
        </w:rPr>
      </w:pPr>
    </w:p>
    <w:p>
      <w:pPr>
        <w:jc w:val="both"/>
        <w:ind w:left="60" w:right="59"/>
        <w:spacing w:after="0" w:line="215" w:lineRule="auto"/>
        <w:rPr>
          <w:sz w:val="20"/>
          <w:szCs w:val="20"/>
          <w:color w:val="auto"/>
        </w:rPr>
      </w:pPr>
      <w:r>
        <w:rPr>
          <w:rFonts w:ascii="Times New Roman" w:cs="Times New Roman" w:eastAsia="Times New Roman" w:hAnsi="Times New Roman"/>
          <w:sz w:val="18"/>
          <w:szCs w:val="18"/>
          <w:color w:val="auto"/>
        </w:rPr>
        <w:t>The USPTO has now granted four additional U.S. patents that cover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formulation and its use, each of which have been, or are in the process of being, listed in the U.S. FDA’s “Orange Book” (U.S. Patent No. 11,291,728 (issued April 5, 2022), U.S. Patent No. 11,510,984 (issued November 29, 2022), U.S. Patent No. 11,617,793 (issued April 4, 2023), and U.S. Patent No. 11,964,018 (issued April 23, 2024)). The USPO has also recently allowed two additional patent applications (U.S. Patent Application Nos. 17/992,703 and 17/992,707) that cover the use of the PEDMARK® formulation. Five additional United States patent applications from this family are pending at the USPTO covering various sodium thiosulfate formulations and uses. We plan to vigorously defend our intellectual property rights to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if challenged. An invalidation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have a material adverse effect on our ability to protect our rights in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beyond periods of marketing exclusivity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United States under Orphan Drug Designation.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CIPLA Litigation</w:t>
      </w:r>
    </w:p>
    <w:p>
      <w:pPr>
        <w:spacing w:after="0" w:line="227" w:lineRule="exact"/>
        <w:rPr>
          <w:sz w:val="20"/>
          <w:szCs w:val="20"/>
          <w:color w:val="auto"/>
        </w:rPr>
      </w:pPr>
    </w:p>
    <w:p>
      <w:pPr>
        <w:jc w:val="both"/>
        <w:ind w:left="60" w:right="59"/>
        <w:spacing w:after="0" w:line="220" w:lineRule="auto"/>
        <w:rPr>
          <w:sz w:val="20"/>
          <w:szCs w:val="20"/>
          <w:color w:val="auto"/>
        </w:rPr>
      </w:pPr>
      <w:r>
        <w:rPr>
          <w:rFonts w:ascii="Times New Roman" w:cs="Times New Roman" w:eastAsia="Times New Roman" w:hAnsi="Times New Roman"/>
          <w:sz w:val="18"/>
          <w:szCs w:val="18"/>
          <w:color w:val="auto"/>
        </w:rPr>
        <w:t>On December 1, 2022, we received a letter dated November 30, 2022, notifying us that CIPLA Ltd. and CIPLA USA (“CIPLA”) submitted to the FDA an ANDA (ANDA No. 218028) for a generic version of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solution) that contains Paragraph IV Certifications on two of our patents covering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certifications allege these patents are invalid or will not be infringed by the manufacture, use, or sale of CIPLA’s sodium thiosulfate solution.</w:t>
      </w:r>
    </w:p>
    <w:p>
      <w:pPr>
        <w:spacing w:after="0" w:line="199" w:lineRule="exact"/>
        <w:rPr>
          <w:sz w:val="20"/>
          <w:szCs w:val="20"/>
          <w:color w:val="auto"/>
        </w:rPr>
      </w:pPr>
    </w:p>
    <w:p>
      <w:pPr>
        <w:jc w:val="both"/>
        <w:ind w:left="60" w:right="59"/>
        <w:spacing w:after="0" w:line="224" w:lineRule="auto"/>
        <w:rPr>
          <w:sz w:val="20"/>
          <w:szCs w:val="20"/>
          <w:color w:val="auto"/>
        </w:rPr>
      </w:pPr>
      <w:r>
        <w:rPr>
          <w:rFonts w:ascii="Times New Roman" w:cs="Times New Roman" w:eastAsia="Times New Roman" w:hAnsi="Times New Roman"/>
          <w:sz w:val="18"/>
          <w:szCs w:val="18"/>
          <w:color w:val="auto"/>
        </w:rPr>
        <w:t>Under the Food and Drug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to the 30-month stay, because we have received Orphan Drug Exclusivity, the FDA may not approve CIPLA’s ANDA for at least 7 years from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FDA approval date of September 20, 2022.</w:t>
      </w:r>
    </w:p>
    <w:p>
      <w:pPr>
        <w:spacing w:after="0" w:line="204"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On January 10, 2023, we filed suit against the CIPLA entities in the United States District Court for the District of New Jersey (Case No. 2:23-cv-00123), for infringement of the ‘190 Patent, the ‘728 Patent, and the ‘984 Patent. On April 20, 2023, we filed an Amended Complaint to assert infringement of the ‘728 patent and the ‘984 Patent. On April 4, 2023, we were granted US 11,617,793 Patent (the “’793 Patent”) covering the formulation of the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which was listed in the Orange Book on or around April 17, 2023, and has an expiration date of July 2039. On May 11, 2023, we received written notice of CIPLA’s Paragraph IV Certification as to the ’793 Patent, which was dated May 10, 2023, along with an enclosed statement of alleged factual and legal bases for stating that the ’793 Patent is invalid, unenforceable, and/or will not be infringed by CIPLA’s ANDA Product. On July 27, 2023, we filed a Second Amended Complaint to assert the ‘793 Patent. CIPLA filed an Answer to the Second Amended Complaint on August 31, 2023. The suit is ongoing.</w:t>
      </w:r>
    </w:p>
    <w:p>
      <w:pPr>
        <w:spacing w:after="0" w:line="188"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18"/>
          <w:szCs w:val="18"/>
          <w:color w:val="auto"/>
        </w:rPr>
        <w:t>PEDMARQSI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(EU Brand name for 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received European Commission approval in June 2023 and was granted eight year of market exclusivity plus two years of data exclusivity in Europe under PUMA.</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2023, filed with the SEC on March 29, 2024 (the “Annual Report”), includes a detailed discussion of our risk factors under the heading “PART I, Item 1A – Risk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0D0D0D"/>
        </w:rPr>
        <w:t>Insider Trading Arrangements and Policies</w:t>
      </w:r>
    </w:p>
    <w:p>
      <w:pPr>
        <w:spacing w:after="0" w:line="227"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0D0D0D"/>
        </w:rPr>
        <w:t>During the quarter ended March 31, 2024, no director or officer of the Company adopted or terminated a “Rule 10b5-1 trading arrangement” or “non-Rule 10b5-1 trading arrangement, as each term is defined in Item 408(a) of Regulations S-K.</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14, 2024, we issued a press release announcing our financial results for the quarter ended March 31, 2024.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7720" w:type="dxa"/>
            <w:vAlign w:val="bottom"/>
            <w:gridSpan w:val="9"/>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License and Supply Agreement, dated March 15, 2024, between Fennec Pharmaceuticals, Inc. and Norgine</w:t>
              </w:r>
            </w:hyperlink>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Pharma UK Limited.</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 the Company in accordance with Section 302 of the Sarbanes-</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c>
          <w:tcPr>
            <w:tcW w:w="1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75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the Company in accordance with Section 302 of the Sarbanes-</w:t>
            </w:r>
          </w:p>
        </w:tc>
        <w:tc>
          <w:tcPr>
            <w:tcW w:w="18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of the Company in accordance with</w:t>
            </w:r>
          </w:p>
        </w:tc>
        <w:tc>
          <w:tcPr>
            <w:tcW w:w="2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 (filed herewith).</w:t>
            </w:r>
          </w:p>
        </w:tc>
        <w:tc>
          <w:tcPr>
            <w:tcW w:w="310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4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for Quarter Ended March 31, 2024 (filed herewith).</w:t>
            </w:r>
          </w:p>
        </w:tc>
        <w:tc>
          <w:tcPr>
            <w:tcW w:w="2980" w:type="dxa"/>
            <w:vAlign w:val="bottom"/>
            <w:gridSpan w:val="5"/>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7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211" w:lineRule="exact"/>
        <w:rPr>
          <w:sz w:val="20"/>
          <w:szCs w:val="20"/>
          <w:color w:val="auto"/>
        </w:rPr>
      </w:pPr>
    </w:p>
    <w:p>
      <w:pPr>
        <w:sectPr>
          <w:pgSz w:w="11900" w:h="16838" w:orient="portrait"/>
          <w:cols w:equalWidth="0" w:num="2">
            <w:col w:w="820" w:space="420"/>
            <w:col w:w="7779"/>
          </w:cols>
          <w:pgMar w:left="1440" w:top="513"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200" w:lineRule="exact"/>
        <w:rPr>
          <w:sz w:val="20"/>
          <w:szCs w:val="20"/>
          <w:color w:val="auto"/>
        </w:rPr>
      </w:pPr>
    </w:p>
    <w:p>
      <w:pPr>
        <w:sectPr>
          <w:pgSz w:w="11900" w:h="16838" w:orient="portrait"/>
          <w:cols w:equalWidth="0" w:num="2">
            <w:col w:w="820" w:space="420"/>
            <w:col w:w="7779"/>
          </w:cols>
          <w:pgMar w:left="1440" w:top="513" w:right="1440"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200" w:lineRule="exact"/>
        <w:rPr>
          <w:sz w:val="20"/>
          <w:szCs w:val="20"/>
          <w:color w:val="auto"/>
        </w:rPr>
      </w:pPr>
    </w:p>
    <w:p>
      <w:pPr>
        <w:sectPr>
          <w:pgSz w:w="11900" w:h="16838" w:orient="portrait"/>
          <w:cols w:equalWidth="0" w:num="2">
            <w:col w:w="800" w:space="440"/>
            <w:col w:w="7779"/>
          </w:cols>
          <w:pgMar w:left="1440" w:top="513" w:right="1440"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200" w:lineRule="exact"/>
        <w:rPr>
          <w:sz w:val="20"/>
          <w:szCs w:val="20"/>
          <w:color w:val="auto"/>
        </w:rPr>
      </w:pPr>
    </w:p>
    <w:p>
      <w:pPr>
        <w:sectPr>
          <w:pgSz w:w="11900" w:h="16838" w:orient="portrait"/>
          <w:cols w:equalWidth="0" w:num="2">
            <w:col w:w="820" w:space="420"/>
            <w:col w:w="7779"/>
          </w:cols>
          <w:pgMar w:left="1440" w:top="513" w:right="1440"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800" w:space="440"/>
            <w:col w:w="7779"/>
          </w:cols>
          <w:pgMar w:left="1440" w:top="513" w:right="1440" w:bottom="1440" w:gutter="0" w:footer="0" w:header="0"/>
          <w:type w:val="continuous"/>
        </w:sectPr>
      </w:pPr>
    </w:p>
    <w:p>
      <w:pPr>
        <w:spacing w:after="0" w:line="25" w:lineRule="exact"/>
        <w:rPr>
          <w:sz w:val="20"/>
          <w:szCs w:val="20"/>
          <w:color w:val="auto"/>
        </w:rPr>
      </w:pPr>
    </w:p>
    <w:p>
      <w:pPr>
        <w:ind w:left="1240" w:right="799" w:hanging="1184"/>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jc w:val="both"/>
        <w:ind w:left="60" w:right="619" w:hanging="10"/>
        <w:spacing w:after="0" w:line="255" w:lineRule="auto"/>
        <w:tabs>
          <w:tab w:leader="none" w:pos="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601(b)(10)(iv) of Regulation S-K, certain provisions and terms of this exhibit have been redacted. Fennec will provide an unredacted copy of the exhibit on a supplemental basis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Fennec Pharmaceuticals Inc.</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1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Rostislav Raykov</w:t>
            </w:r>
          </w:p>
        </w:tc>
      </w:tr>
      <w:tr>
        <w:trPr>
          <w:trHeight w:val="191"/>
        </w:trPr>
        <w:tc>
          <w:tcPr>
            <w:tcW w:w="2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Rostislav Raykov</w:t>
            </w:r>
          </w:p>
        </w:tc>
      </w:tr>
      <w:tr>
        <w:trPr>
          <w:trHeight w:val="216"/>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1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Andrade</w:t>
            </w:r>
          </w:p>
        </w:tc>
      </w:tr>
      <w:tr>
        <w:trPr>
          <w:trHeight w:val="191"/>
        </w:trPr>
        <w:tc>
          <w:tcPr>
            <w:tcW w:w="2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Andrade</w:t>
            </w:r>
          </w:p>
        </w:tc>
      </w:tr>
      <w:tr>
        <w:trPr>
          <w:trHeight w:val="216"/>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Rostislav Raykov, certify that:</w:t>
      </w:r>
    </w:p>
    <w:p>
      <w:pPr>
        <w:spacing w:after="0" w:line="252" w:lineRule="exact"/>
        <w:rPr>
          <w:sz w:val="20"/>
          <w:szCs w:val="20"/>
          <w:color w:val="auto"/>
        </w:rPr>
      </w:pPr>
    </w:p>
    <w:p>
      <w:pPr>
        <w:ind w:left="560" w:hanging="308"/>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Fennec Pharmaceuticals Inc.;</w:t>
      </w:r>
    </w:p>
    <w:p>
      <w:pPr>
        <w:spacing w:after="0" w:line="27" w:lineRule="exact"/>
        <w:rPr>
          <w:rFonts w:ascii="Times New Roman" w:cs="Times New Roman" w:eastAsia="Times New Roman" w:hAnsi="Times New Roman"/>
          <w:sz w:val="18"/>
          <w:szCs w:val="18"/>
          <w:color w:val="auto"/>
        </w:rPr>
      </w:pPr>
    </w:p>
    <w:p>
      <w:pPr>
        <w:ind w:left="560" w:right="300" w:hanging="308"/>
        <w:spacing w:after="0" w:line="250"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60" w:right="280" w:hanging="308"/>
        <w:spacing w:after="0" w:line="250"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60" w:right="120" w:hanging="308"/>
        <w:spacing w:after="0" w:line="250"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260" w:right="220" w:hanging="400"/>
        <w:spacing w:after="0" w:line="250"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260" w:right="140" w:hanging="400"/>
        <w:spacing w:after="0" w:line="265" w:lineRule="auto"/>
        <w:tabs>
          <w:tab w:leader="none" w:pos="12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hanging="400"/>
        <w:spacing w:after="0" w:line="250"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260" w:right="120" w:hanging="400"/>
        <w:spacing w:after="0" w:line="250"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60" w:right="460" w:hanging="308"/>
        <w:spacing w:after="0" w:line="250"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260" w:hanging="400"/>
        <w:spacing w:after="0" w:line="250"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260" w:right="300" w:hanging="400"/>
        <w:spacing w:after="0" w:line="260"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Rostislav Raykov</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Andrade, certify that:</w:t>
      </w:r>
    </w:p>
    <w:p>
      <w:pPr>
        <w:spacing w:after="0" w:line="252" w:lineRule="exact"/>
        <w:rPr>
          <w:sz w:val="20"/>
          <w:szCs w:val="20"/>
          <w:color w:val="auto"/>
        </w:rPr>
      </w:pPr>
    </w:p>
    <w:p>
      <w:pPr>
        <w:ind w:left="580" w:hanging="315"/>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Fennec Pharmaceuticals Inc.;</w:t>
      </w:r>
    </w:p>
    <w:p>
      <w:pPr>
        <w:spacing w:after="0" w:line="27" w:lineRule="exact"/>
        <w:rPr>
          <w:rFonts w:ascii="Times New Roman" w:cs="Times New Roman" w:eastAsia="Times New Roman" w:hAnsi="Times New Roman"/>
          <w:sz w:val="18"/>
          <w:szCs w:val="18"/>
          <w:color w:val="auto"/>
        </w:rPr>
      </w:pPr>
    </w:p>
    <w:p>
      <w:pPr>
        <w:ind w:left="580" w:right="300" w:hanging="315"/>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80" w:right="260" w:hanging="315"/>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20" w:hanging="315"/>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80" w:hanging="428"/>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ind w:left="1300" w:right="100" w:hanging="428"/>
        <w:spacing w:after="0" w:line="281" w:lineRule="auto"/>
        <w:tabs>
          <w:tab w:leader="none" w:pos="13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300" w:right="280" w:hanging="428"/>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428"/>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80" w:right="440" w:hanging="315"/>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428"/>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80" w:hanging="428"/>
        <w:spacing w:after="0" w:line="29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17145</wp:posOffset>
            </wp:positionV>
            <wp:extent cx="3103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Andrade</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Fennec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2024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each of the undersigned, Rostislav Raykov, Chief Executive Officer of the Company, and Robert Andrade, Chief Financial Officer of the Company, hereby certifies pursuant to 18 U.S.C. §1350, as adopted pursuant to Section 906 of the Sarbanes-Oxley Act of 2002, that:</w:t>
      </w:r>
    </w:p>
    <w:p>
      <w:pPr>
        <w:spacing w:after="0" w:line="200" w:lineRule="exact"/>
        <w:rPr>
          <w:sz w:val="20"/>
          <w:szCs w:val="20"/>
          <w:color w:val="auto"/>
        </w:rPr>
      </w:pPr>
    </w:p>
    <w:p>
      <w:pPr>
        <w:spacing w:after="0" w:line="209" w:lineRule="exact"/>
        <w:rPr>
          <w:sz w:val="20"/>
          <w:szCs w:val="20"/>
          <w:color w:val="auto"/>
        </w:rPr>
      </w:pPr>
    </w:p>
    <w:p>
      <w:pPr>
        <w:ind w:left="1140" w:hanging="48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140" w:right="280" w:hanging="484"/>
        <w:spacing w:after="0" w:line="26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Rostislav Raykov</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Robert Andrade</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7" w:right="10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1251585" cy="6000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51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FENNEC PHARMACEUTICALS REPORTS FIRST QUARTER 2024 FINANCIAL RESULTS AND PROVIDES BUSINESS UPDATE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Achieved First Quarter 2024 Net Revenues of $25.4 Million including $18.0 million in licensing revenue from Norgine transaction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~Executed Exclusive Licensing Agreement with Norgine to Commercialize PEDMARQSI™ in Europe, Australia, and New Zealan</w:t>
      </w:r>
      <w:r>
        <w:rPr>
          <w:rFonts w:ascii="Times New Roman" w:cs="Times New Roman" w:eastAsia="Times New Roman" w:hAnsi="Times New Roman"/>
          <w:sz w:val="18"/>
          <w:szCs w:val="18"/>
          <w:color w:val="auto"/>
        </w:rPr>
        <w:t>d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Amended PEDMARK</w:t>
      </w:r>
      <w:r>
        <w:rPr>
          <w:rFonts w:ascii="Times New Roman" w:cs="Times New Roman" w:eastAsia="Times New Roman" w:hAnsi="Times New Roman"/>
          <w:sz w:val="26"/>
          <w:szCs w:val="26"/>
          <w:i w:val="1"/>
          <w:iCs w:val="1"/>
          <w:color w:val="auto"/>
          <w:vertAlign w:val="superscript"/>
        </w:rPr>
        <w:t>Ò</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Permanent J-code 0208 Became Effective April 1, 2024</w:t>
      </w:r>
      <w:r>
        <w:rPr>
          <w:rFonts w:ascii="Times New Roman" w:cs="Times New Roman" w:eastAsia="Times New Roman" w:hAnsi="Times New Roman"/>
          <w:sz w:val="18"/>
          <w:szCs w:val="18"/>
          <w:color w:val="auto"/>
        </w:rPr>
        <w:t xml:space="preserve"> ~</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i w:val="1"/>
          <w:iCs w:val="1"/>
          <w:color w:val="auto"/>
        </w:rPr>
        <w:t>Company Has Approximately $51Million in Cash, Cash Equivalents, and Investment Securities</w:t>
      </w:r>
      <w:r>
        <w:rPr>
          <w:rFonts w:ascii="Times New Roman" w:cs="Times New Roman" w:eastAsia="Times New Roman" w:hAnsi="Times New Roman"/>
          <w:sz w:val="22"/>
          <w:szCs w:val="22"/>
          <w:color w:val="auto"/>
        </w:rPr>
        <w:t xml:space="preserve"> ~</w:t>
      </w:r>
    </w:p>
    <w:p>
      <w:pPr>
        <w:spacing w:after="0" w:line="2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to Host Conference Call Today at 8:30 a.m. ET</w:t>
      </w:r>
      <w:r>
        <w:rPr>
          <w:rFonts w:ascii="Times New Roman" w:cs="Times New Roman" w:eastAsia="Times New Roman" w:hAnsi="Times New Roman"/>
          <w:sz w:val="18"/>
          <w:szCs w:val="18"/>
          <w:color w:val="auto"/>
        </w:rPr>
        <w:t xml:space="preserve"> ~</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Triangle Park, NC, May 14, 2024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Fennec Pharmaceuticals Inc. (NASDAQ:FENC; TSX: FRX), a specialty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reported its financial results for the fiscal quarter ended March 31, 2024, and provided a business update.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made significant progress with our strategic plans to refocus our organizational efforts in the outpatient oncology community where PEDMARKÒ use has been endorsed by the NCCN in the adolescent and young adult (AYA) population. Effective April 1, CMS has amended our permanent J-code to specify the non-interchangeability of PEDMARKÒ with other formulations of sodium thiosulfate (STS). With the successful execution of the Norgine EU licensing agreement, we are well funded and confident in the significant market opportunity in front of us,” said Rosty Raykov, chief executive officer of Fennec Pharmaceuticals.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 and Highlights:</w:t>
      </w:r>
    </w:p>
    <w:p>
      <w:pPr>
        <w:spacing w:after="0" w:line="229" w:lineRule="exact"/>
        <w:rPr>
          <w:sz w:val="20"/>
          <w:szCs w:val="20"/>
          <w:color w:val="auto"/>
        </w:rPr>
      </w:pPr>
    </w:p>
    <w:p>
      <w:pPr>
        <w:ind w:left="50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PEDMARK net product revenue of approximately $7.4 million in the first quarter of 2024 and total net revenues of $25.4 million, which is inclusive of $18.0 million in revenue from the Norgine transction.</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permanent J-Code, which became effective on April 1, 2024, now clearly specifies PEDMARK® from other formulations of sodium thiosulfate (STS).</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24"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execution of exclusive licensing agreement with Norgine to commercialize PEDMARQS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Europe, Australia, and New Zealand. Fennec received approximately $43.2 million upfront and has the potential to receive up to approximately $230 million in additional commercial and regulatory milestones, and double-digit tiered royalties.</w:t>
      </w:r>
    </w:p>
    <w:p>
      <w:pPr>
        <w:spacing w:after="0" w:line="198"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first quarter, Fennec participated in eleven regional oncology conferences, as well as seven key scientific meetings, including the American Society of Pediatric Hematology/Oncology, the Community Oncology Alliance, the National Comprehensive Cancer Network, and the American Academy of Audiology annual conferences.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the First Quarter 2024</w:t>
      </w:r>
    </w:p>
    <w:p>
      <w:pPr>
        <w:spacing w:after="0" w:line="225" w:lineRule="exact"/>
        <w:rPr>
          <w:sz w:val="20"/>
          <w:szCs w:val="20"/>
          <w:color w:val="auto"/>
        </w:rPr>
      </w:pPr>
    </w:p>
    <w:p>
      <w:pPr>
        <w:jc w:val="both"/>
        <w:ind w:left="500" w:hanging="330"/>
        <w:spacing w:after="0" w:line="259"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 The company recorded net product sales of $7.4 million and $18.0 million in licensing revenue for total net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$25.4 million for the three-month period ended March 31, 2024, compared to $1.7 million in product sales and no licensing revenue for the same period in 2023. The Company recorded discounts and allowances against sales in the amount of $2.1 million and cost of products sold of $0.6 million for the three-month period ended March 31, 2024. For the same period in 2023, the Company recorded $0.2 million in discounts and allowances and $0.1 million in cost of goods sold.</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68"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 Cash and cash equivalents were $51.2 million at March 31, 2024 and $13.3 million at December 31,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and cash equivalents between March 31, 2024, and December 31, 2023, is the result of cash outlays for operating expenses related to the promotion of our product, selling and marketing expenses and general and administrative expenses, which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both"/>
        <w:ind w:left="500" w:right="20"/>
        <w:spacing w:after="0" w:line="266" w:lineRule="auto"/>
        <w:rPr>
          <w:sz w:val="20"/>
          <w:szCs w:val="20"/>
          <w:color w:val="auto"/>
        </w:rPr>
      </w:pPr>
      <w:r>
        <w:rPr>
          <w:rFonts w:ascii="Times New Roman" w:cs="Times New Roman" w:eastAsia="Times New Roman" w:hAnsi="Times New Roman"/>
          <w:sz w:val="18"/>
          <w:szCs w:val="18"/>
          <w:color w:val="auto"/>
        </w:rPr>
        <w:t>were offset by cash inflows of approximately $43.2 million from the Norgine deal. We anticipate that our cash, cash equivalents and investment securities as of March 31, 2024 will be sufficient to fund our planned operations for at least the next twelve months.</w:t>
      </w:r>
    </w:p>
    <w:p>
      <w:pPr>
        <w:spacing w:after="0" w:line="172" w:lineRule="exact"/>
        <w:rPr>
          <w:sz w:val="20"/>
          <w:szCs w:val="20"/>
          <w:color w:val="auto"/>
        </w:rPr>
      </w:pPr>
    </w:p>
    <w:p>
      <w:pPr>
        <w:jc w:val="both"/>
        <w:ind w:left="500" w:hanging="330"/>
        <w:spacing w:after="0" w:line="268"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 The Company recorded $5.2 million in selling and marketing expenses for the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2024, compared to $2.5 million for the same period in 2023. The increase is largely related to increased payroll and additional marketing expenses in the comparable period.</w:t>
      </w:r>
    </w:p>
    <w:p>
      <w:pPr>
        <w:spacing w:after="0" w:line="170" w:lineRule="exact"/>
        <w:rPr>
          <w:rFonts w:ascii="Times New Roman" w:cs="Times New Roman" w:eastAsia="Times New Roman" w:hAnsi="Times New Roman"/>
          <w:sz w:val="18"/>
          <w:szCs w:val="18"/>
          <w:color w:val="auto"/>
        </w:rPr>
      </w:pPr>
    </w:p>
    <w:p>
      <w:pPr>
        <w:jc w:val="both"/>
        <w:ind w:left="500" w:hanging="330"/>
        <w:spacing w:after="0" w:line="268"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 G&amp;A expenses increased by approximately $1.6 million over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2023 to $5.8 million. There was a significant increase in consulting, and professional costs related to European pre-commercialization related expenses in the 2024 period over the comparable period.</w:t>
      </w:r>
    </w:p>
    <w:p>
      <w:pPr>
        <w:spacing w:after="0" w:line="170" w:lineRule="exact"/>
        <w:rPr>
          <w:rFonts w:ascii="Times New Roman" w:cs="Times New Roman" w:eastAsia="Times New Roman" w:hAnsi="Times New Roman"/>
          <w:sz w:val="18"/>
          <w:szCs w:val="18"/>
          <w:color w:val="auto"/>
        </w:rPr>
      </w:pPr>
    </w:p>
    <w:p>
      <w:pPr>
        <w:ind w:left="500" w:hanging="330"/>
        <w:spacing w:after="0" w:line="28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Earnings </w:t>
      </w:r>
      <w:r>
        <w:rPr>
          <w:rFonts w:ascii="Times New Roman" w:cs="Times New Roman" w:eastAsia="Times New Roman" w:hAnsi="Times New Roman"/>
          <w:sz w:val="18"/>
          <w:szCs w:val="18"/>
          <w:color w:val="auto"/>
        </w:rPr>
        <w:t>– Net income for the quarter ended March 31, 2024 was $12.8 million (basic EPS $0.47 per share, diluted 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$0.41), compared to a net loss of $6.1 million (basic and diluted loss of $0.23 per share) for the same period in 2023.</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D2228"/>
        </w:rPr>
        <w:t>Q1 2024 CONFERENCE CALL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1D2228"/>
        </w:rPr>
        <w:t>Date:</w:t>
      </w:r>
      <w:r>
        <w:rPr>
          <w:sz w:val="20"/>
          <w:szCs w:val="20"/>
          <w:color w:val="auto"/>
        </w:rPr>
        <w:tab/>
      </w:r>
      <w:r>
        <w:rPr>
          <w:rFonts w:ascii="Times New Roman" w:cs="Times New Roman" w:eastAsia="Times New Roman" w:hAnsi="Times New Roman"/>
          <w:sz w:val="18"/>
          <w:szCs w:val="18"/>
          <w:color w:val="1D2228"/>
        </w:rPr>
        <w:t>Tuesday, May 14, 2024</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1D2228"/>
        </w:rPr>
        <w:t>Time:</w:t>
      </w:r>
      <w:r>
        <w:rPr>
          <w:sz w:val="20"/>
          <w:szCs w:val="20"/>
          <w:color w:val="auto"/>
        </w:rPr>
        <w:tab/>
      </w:r>
      <w:r>
        <w:rPr>
          <w:rFonts w:ascii="Times New Roman" w:cs="Times New Roman" w:eastAsia="Times New Roman" w:hAnsi="Times New Roman"/>
          <w:sz w:val="17"/>
          <w:szCs w:val="17"/>
          <w:color w:val="1D2228"/>
        </w:rPr>
        <w:t>8:30 a.m. Eastern Time</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1D2228"/>
        </w:rPr>
        <w:t>Link:</w:t>
      </w:r>
      <w:r>
        <w:rPr>
          <w:sz w:val="20"/>
          <w:szCs w:val="20"/>
          <w:color w:val="auto"/>
        </w:rPr>
        <w:tab/>
      </w:r>
      <w:r>
        <w:rPr>
          <w:rFonts w:ascii="Times New Roman" w:cs="Times New Roman" w:eastAsia="Times New Roman" w:hAnsi="Times New Roman"/>
          <w:sz w:val="18"/>
          <w:szCs w:val="18"/>
          <w:color w:val="1D2228"/>
        </w:rPr>
        <w:t>https://register.vevent.com/register/BI137d97d6710341398d6f17d0433dc5b8</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1D2228"/>
        </w:rPr>
        <w:t>To access the conference call, please register using https://register.vevent.com/register/BI137d97d6710341398d6f17d0433dc5b8. Upon registration, a dial-in number and unique PIN will be provided to join the call. To access the live webcast link, log onto www.fennepharma.com and proceed to the News &amp; Events / Event Calendar page under the Investors &amp; Media heading. Please connect to the company’s website at least 15 minutes prior to the conference call to ensure adequate time for any software download that may be required to listen to the webcast. A webcast replay of the conference call will also be archived on www.fennecpharma.com for thirty days.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March 31, 2024 and management's discussion and analysis of financial condition and results of operations will be available via www.sec.gov and www.sedar.com. All values are presented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Unaudited Condensed Consolidated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Revenue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PEDMARK product sales, net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17,958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25,377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1,677</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products sold</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5,872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4,317</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11,634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6,947</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13,743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(5,270)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(798)</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(906)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12,837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(6,052)</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income/(loss) per common share</w:t>
            </w: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(0.23)</w:t>
            </w: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common share</w:t>
            </w:r>
          </w:p>
        </w:tc>
        <w:tc>
          <w:tcPr>
            <w:tcW w:w="9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(0.23)</w:t>
            </w:r>
          </w:p>
        </w:tc>
        <w:tc>
          <w:tcPr>
            <w:tcW w:w="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 outstanding basic</w:t>
            </w: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27,090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26,559</w:t>
            </w: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diluted</w:t>
            </w: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31,136</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26,559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assets, net amortization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equity/(deficit)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Contract liability - Norgine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discount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Contract liabilty - Norgine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 term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equity/(deficit):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40" w:type="dxa"/>
            <w:vAlign w:val="bottom"/>
            <w:shd w:val="clear" w:color="auto" w:fill="CCEEFF"/>
          </w:tcPr>
          <w:p>
            <w:pPr>
              <w:ind w:left="100"/>
              <w:spacing w:after="0" w:line="179" w:lineRule="exact"/>
              <w:rPr>
                <w:sz w:val="20"/>
                <w:szCs w:val="20"/>
                <w:color w:val="auto"/>
              </w:rPr>
            </w:pPr>
            <w:r>
              <w:rPr>
                <w:rFonts w:ascii="Times New Roman" w:cs="Times New Roman" w:eastAsia="Times New Roman" w:hAnsi="Times New Roman"/>
                <w:sz w:val="18"/>
                <w:szCs w:val="18"/>
                <w:color w:val="auto"/>
              </w:rPr>
              <w:t>Common stock, no par value; unlimited shares authorized; 27,105 shares issued and outstanding (2023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40" w:type="dxa"/>
            <w:vAlign w:val="bottom"/>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27,027)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144,934</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equity/(deficit)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equity/(deficit)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73"/>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Fiscal Period Ended</w:t>
            </w:r>
          </w:p>
        </w:tc>
      </w:tr>
      <w:tr>
        <w:trPr>
          <w:trHeight w:val="223"/>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Selected Asset and Liability Data:</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w:t>
            </w:r>
          </w:p>
        </w:tc>
      </w:tr>
      <w:tr>
        <w:trPr>
          <w:trHeight w:val="24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r>
      <w:tr>
        <w:trPr>
          <w:trHeight w:val="243"/>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w:t>
            </w: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w:t>
            </w: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3"/>
        </w:trPr>
        <w:tc>
          <w:tcPr>
            <w:tcW w:w="6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Equity:</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additional paid in capital</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206,380</w:t>
            </w:r>
          </w:p>
        </w:tc>
      </w:tr>
      <w:tr>
        <w:trPr>
          <w:trHeight w:val="24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(219,245)</w:t>
            </w:r>
          </w:p>
        </w:tc>
      </w:tr>
      <w:tr>
        <w:trPr>
          <w:trHeight w:val="24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Cisplatin-Induced Ototoxicity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incidence of ototoxicity depends upon the dose and duration of chemotherapy, and many of these children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PEDMARK</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(sodium thiosulfate injection)</w:t>
      </w:r>
    </w:p>
    <w:p>
      <w:pPr>
        <w:jc w:val="both"/>
        <w:spacing w:after="0" w:line="229"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and only U.S. Food and Drug Administration (FDA) approved therapy indicated to reduce the risk of ototoxicity associated with cisplatin treatment in pediatric patients with localized, non-metastatic, solid tumors. It is a unique formulation of sodium thiosulfate in single-dose, ready-to-use vials for intravenous use in pediatric patients.7 PEDMARK is also the only therapeutic agent with proven efficacy and safety data with an established dosing paradigm, across two open-label, randomized Phase 3 clinical studies, the Clinical Oncology Group (COG) Protocol ACCL0431 and SIOPEL 6.</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and Europe, it is estimated that, annually, more than 10,000 children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PEDMARK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(sodium thiosulfate injection) is indicated to reduce the risk of ototoxicity associated with cisplatin in pediatric patients 1 month of age and older with localized, non-metastatic solid tumors.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Use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PEDMARK is contraindicated in patients with history of a severe hypersensitivity to sodium thiosulfate or any of its components.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PEDMARK is not indicated for use in pediatric patients less than 1 month of age due to the increased risk of hypernatremia or in pediatric patients with metastatic cancers.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Monitor for signs and symptoms of hypernatremia and hypokalemia more closely if the glomerular filtration rate (GFR) falls below 60 mL/min/1.73m2.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antiemetics prior to each PEDMARK administration. Provide additional antiemetics and supportive care as appropriate.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full Prescribing Information for PEDMARK® at: www.PEDMARK.com.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Fennec Pharmaceuticals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Fennec Pharmaceuticals Inc. is a specialty pharmaceutical company focused on the development and commercialization of PEDMARK® to reduce the risk of platinum-induced ototoxicity in pediatric patients. Further, PEDMARK received FDA approval in September 2022 and European Commission approval in June 2023 and U.K. approval in October 2023. PEDMARK has received Orphan Drug Exclusivity in the U.S. For more information, please visit www.fennecpharma.com.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 the market opportunity for and market impact of PEDMARK®, its potential impact on patients and anticipated benefits associated with its use, 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2023. Fennec disclaims any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 more detailed discussion of related risk factors, please refer to our public filings available at www.sec.gov and www.sedar.com.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PEDMARK® and Fennec® are registered trademarks of Fennec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Fennec Pharmaceuticals Inc. All rights reserved. FEN-1604-v1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Andrade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Fennec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+1 919-246-5299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lrocco@elixirhealthpr.com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8"/>
        <w:spacing w:after="0" w:line="208" w:lineRule="auto"/>
        <w:tabs>
          <w:tab w:leader="none" w:pos="82"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Rybak L. Mechanisms of Cisplatin Ototoxicity and Progress in Otoprotection. Current Opinion in Otolaryngology &amp; Head and Neck Surgery. 2007, Vol. 15: 364-369.</w:t>
      </w:r>
    </w:p>
    <w:p>
      <w:pPr>
        <w:spacing w:after="0" w:line="1" w:lineRule="exact"/>
        <w:rPr>
          <w:rFonts w:ascii="Times New Roman" w:cs="Times New Roman" w:eastAsia="Times New Roman" w:hAnsi="Times New Roman"/>
          <w:sz w:val="27"/>
          <w:szCs w:val="27"/>
          <w:color w:val="auto"/>
          <w:vertAlign w:val="superscript"/>
        </w:rPr>
      </w:pPr>
    </w:p>
    <w:p>
      <w:pPr>
        <w:spacing w:after="0" w:line="18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ii</w:t>
      </w:r>
      <w:r>
        <w:rPr>
          <w:rFonts w:ascii="Times New Roman" w:cs="Times New Roman" w:eastAsia="Times New Roman" w:hAnsi="Times New Roman"/>
          <w:sz w:val="17"/>
          <w:szCs w:val="17"/>
          <w:color w:val="auto"/>
        </w:rPr>
        <w:t xml:space="preserve"> Landier W. Ototoxicity and Cancer Therapy. </w:t>
      </w:r>
      <w:r>
        <w:rPr>
          <w:rFonts w:ascii="Times New Roman" w:cs="Times New Roman" w:eastAsia="Times New Roman" w:hAnsi="Times New Roman"/>
          <w:sz w:val="17"/>
          <w:szCs w:val="17"/>
          <w:i w:val="1"/>
          <w:iCs w:val="1"/>
          <w:color w:val="auto"/>
        </w:rPr>
        <w:t>Cancer</w:t>
      </w:r>
      <w:r>
        <w:rPr>
          <w:rFonts w:ascii="Times New Roman" w:cs="Times New Roman" w:eastAsia="Times New Roman" w:hAnsi="Times New Roman"/>
          <w:sz w:val="17"/>
          <w:szCs w:val="17"/>
          <w:color w:val="auto"/>
        </w:rPr>
        <w:t>. June 2016 Vol. 122, No.11: 1647-1658.</w:t>
      </w:r>
    </w:p>
    <w:p>
      <w:pPr>
        <w:spacing w:after="0" w:line="20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iii</w:t>
      </w:r>
      <w:r>
        <w:rPr>
          <w:rFonts w:ascii="Times New Roman" w:cs="Times New Roman" w:eastAsia="Times New Roman" w:hAnsi="Times New Roman"/>
          <w:sz w:val="18"/>
          <w:szCs w:val="18"/>
          <w:color w:val="auto"/>
        </w:rPr>
        <w:t xml:space="preserve"> Bass JK, Knight KR, Yock TI, et al. Evaluation and Management of Hearing Loss in Survivors of Childhood and Adolescent Cancers: A Report from the Children's Oncology Group. </w:t>
      </w:r>
      <w:r>
        <w:rPr>
          <w:rFonts w:ascii="Times New Roman" w:cs="Times New Roman" w:eastAsia="Times New Roman" w:hAnsi="Times New Roman"/>
          <w:sz w:val="18"/>
          <w:szCs w:val="18"/>
          <w:i w:val="1"/>
          <w:iCs w:val="1"/>
          <w:color w:val="auto"/>
        </w:rPr>
        <w:t>Pediatric Blood &amp; Cancer</w:t>
      </w:r>
      <w:r>
        <w:rPr>
          <w:rFonts w:ascii="Times New Roman" w:cs="Times New Roman" w:eastAsia="Times New Roman" w:hAnsi="Times New Roman"/>
          <w:sz w:val="18"/>
          <w:szCs w:val="18"/>
          <w:color w:val="auto"/>
        </w:rPr>
        <w:t>. 2016 Jul;63(7):1152-1162.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lowerRoman"/>
      <w:start w:val="3"/>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decimal"/>
      <w:start w:val="104"/>
    </w:lvl>
    <w:lvl w:ilvl="1">
      <w:lvlJc w:val="left"/>
      <w:lvlText w:val="%2"/>
      <w:numFmt w:val="decimal"/>
      <w:start w:val="1"/>
    </w:lvl>
  </w:abstractNum>
  <w:abstractNum w:abstractNumId="17">
    <w:nsid w:val="333AB105"/>
    <w:multiLevelType w:val="hybridMultilevel"/>
    <w:lvl w:ilvl="0">
      <w:lvlJc w:val="left"/>
      <w:lvlText w:val="%1."/>
      <w:numFmt w:val="decimal"/>
      <w:start w:val="1"/>
    </w:lvl>
    <w:lvl w:ilvl="1">
      <w:lvlJc w:val="left"/>
      <w:lvlText w:val="%2"/>
      <w:numFmt w:val="decimal"/>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55" Type="http://schemas.openxmlformats.org/officeDocument/2006/relationships/hyperlink" Target="https://www.sec.gov/Archives/edgar/data/1211583/000110465924037255/tm24942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2024-05-14T16:51:36Z</dcterms:created>
  <dcterms:modified xsi:type="dcterms:W3CDTF">2024-05-14T16:51:36Z</dcterms:modified>
</cp:coreProperties>
</file>