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0"/>
        <w:ind w:left="0" w:right="0" w:hanging="0"/>
        <w:jc w:val="left"/>
        <w:rPr/>
      </w:pPr>
      <w:bookmarkStart w:id="0" w:name="doc_1_1"/>
      <w:bookmarkStart w:id="1" w:name="filing_1"/>
      <w:bookmarkStart w:id="2" w:name="fencf-20260324x8k.htm"/>
      <w:bookmarkStart w:id="3" w:name="ksfencf20260324x8k"/>
      <w:bookmarkEnd w:id="0"/>
      <w:bookmarkEnd w:id="1"/>
      <w:bookmarkEnd w:id="2"/>
      <w:bookmarkEnd w:id="3"/>
      <w:r>
        <w:rPr/>
        <w:t>​</w:t>
      </w:r>
    </w:p>
    <w:p>
      <w:pPr>
        <w:pStyle w:val="TextBody"/>
        <w:pBdr>
          <w:bottom w:val="single" w:sz="2" w:space="1" w:color="000000"/>
        </w:pBdr>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center"/>
        <w:rPr>
          <w:rFonts w:ascii="Times New Roman;Times;serif" w:hAnsi="Times New Roman;Times;serif"/>
          <w:b/>
          <w:sz w:val="20"/>
        </w:rPr>
      </w:pPr>
      <w:bookmarkStart w:id="4" w:name="_bb07b642_3749_4b18_8c67_c48419eec312"/>
      <w:bookmarkEnd w:id="4"/>
      <w:r>
        <w:rPr>
          <w:rFonts w:ascii="Times New Roman;Times;serif" w:hAnsi="Times New Roman;Times;serif"/>
          <w:b/>
          <w:sz w:val="20"/>
        </w:rPr>
        <w:t>UNITED STATES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Form 8-K</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March 24, 2026</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FENNEC PHARMACEUTICALS INC.</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001-32295</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p>
      <w:pPr>
        <w:pStyle w:val="TextBody"/>
        <w:bidi w:val="0"/>
        <w:spacing w:lineRule="auto" w:line="285" w:before="0" w:after="0"/>
        <w:ind w:left="0" w:right="0" w:hanging="0"/>
        <w:jc w:val="center"/>
        <w:rPr/>
      </w:pPr>
      <w:r>
        <w:rPr/>
        <w:t> </w:t>
      </w:r>
    </w:p>
    <w:p>
      <w:pPr>
        <w:pStyle w:val="Normal"/>
        <w:bidi w:val="0"/>
        <w:spacing w:before="0" w:after="0"/>
        <w:jc w:val="left"/>
        <w:rPr>
          <w:sz w:val="4"/>
          <w:szCs w:val="4"/>
        </w:rPr>
      </w:pPr>
      <w:r>
        <w:rPr>
          <w:sz w:val="4"/>
          <w:szCs w:val="4"/>
        </w:rPr>
      </w:r>
      <w:bookmarkStart w:id="5" w:name="Tc_1lvyanHFL063oN5A-ANnCg_2_2"/>
      <w:bookmarkStart w:id="6" w:name="Tc_CP1rY5_Hk0CA3G5g2u9YkA_2_0"/>
      <w:bookmarkStart w:id="7" w:name="_708ebdf6_9201_4cd9_ad33_e4b35eaf159f"/>
      <w:bookmarkStart w:id="8" w:name="Tc_1lvyanHFL063oN5A-ANnCg_2_2"/>
      <w:bookmarkStart w:id="9" w:name="Tc_CP1rY5_Hk0CA3G5g2u9YkA_2_0"/>
      <w:bookmarkStart w:id="10" w:name="_708ebdf6_9201_4cd9_ad33_e4b35eaf159f"/>
      <w:bookmarkEnd w:id="8"/>
      <w:bookmarkEnd w:id="9"/>
      <w:bookmarkEnd w:id="10"/>
    </w:p>
    <w:tbl>
      <w:tblPr>
        <w:tblW w:w="5638" w:type="dxa"/>
        <w:jc w:val="left"/>
        <w:tblInd w:w="0" w:type="dxa"/>
        <w:tblLayout w:type="fixed"/>
        <w:tblCellMar>
          <w:top w:w="0" w:type="dxa"/>
          <w:left w:w="0" w:type="dxa"/>
          <w:bottom w:w="0" w:type="dxa"/>
          <w:right w:w="0" w:type="dxa"/>
        </w:tblCellMar>
      </w:tblPr>
      <w:tblGrid>
        <w:gridCol w:w="2461"/>
        <w:gridCol w:w="146"/>
        <w:gridCol w:w="3031"/>
      </w:tblGrid>
      <w:tr>
        <w:trPr/>
        <w:tc>
          <w:tcPr>
            <w:tcW w:w="2461"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2710" cy="175260"/>
                      <wp:effectExtent l="0" t="0" r="0" b="0"/>
                      <wp:wrapNone/>
                      <wp:docPr id="1" name="Frame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31" w:type="dxa"/>
            <w:tcBorders/>
            <w:vAlign w:val="center"/>
          </w:tcPr>
          <w:p>
            <w:pPr>
              <w:pStyle w:val="TableContents"/>
              <w:bidi w:val="0"/>
              <w:spacing w:lineRule="auto" w:line="285" w:before="0" w:after="0"/>
              <w:ind w:left="0" w:right="0" w:hanging="0"/>
              <w:jc w:val="left"/>
              <w:rPr/>
            </w:pPr>
            <w:r>
              <w:rPr/>
              <w:t>​</w:t>
            </w:r>
          </w:p>
        </w:tc>
      </w:tr>
      <w:tr>
        <w:trPr/>
        <w:tc>
          <w:tcPr>
            <w:tcW w:w="246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British Columbia, Canada</w:t>
            </w:r>
          </w:p>
        </w:tc>
        <w:tc>
          <w:tcPr>
            <w:tcW w:w="146" w:type="dxa"/>
            <w:tcBorders/>
            <w:vAlign w:val="center"/>
          </w:tcPr>
          <w:p>
            <w:pPr>
              <w:pStyle w:val="TableContents"/>
              <w:bidi w:val="0"/>
              <w:spacing w:lineRule="auto" w:line="285" w:before="0" w:after="0"/>
              <w:ind w:left="0" w:right="0" w:hanging="0"/>
              <w:jc w:val="left"/>
              <w:rPr/>
            </w:pPr>
            <w:r>
              <w:rPr/>
              <w:t> </w:t>
            </w:r>
          </w:p>
        </w:tc>
        <w:tc>
          <w:tcPr>
            <w:tcW w:w="303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20-0442384</w:t>
            </w:r>
          </w:p>
        </w:tc>
      </w:tr>
      <w:tr>
        <w:trPr/>
        <w:tc>
          <w:tcPr>
            <w:tcW w:w="246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w:t>
            </w:r>
          </w:p>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incorporation)</w:t>
            </w:r>
          </w:p>
        </w:tc>
        <w:tc>
          <w:tcPr>
            <w:tcW w:w="146" w:type="dxa"/>
            <w:tcBorders/>
            <w:vAlign w:val="center"/>
          </w:tcPr>
          <w:p>
            <w:pPr>
              <w:pStyle w:val="TableContents"/>
              <w:bidi w:val="0"/>
              <w:spacing w:lineRule="auto" w:line="285" w:before="0" w:after="0"/>
              <w:ind w:left="0" w:right="0" w:hanging="0"/>
              <w:jc w:val="left"/>
              <w:rPr/>
            </w:pPr>
            <w:r>
              <w:rPr/>
              <w:t> </w:t>
            </w:r>
          </w:p>
        </w:tc>
        <w:tc>
          <w:tcPr>
            <w:tcW w:w="303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pPr>
      <w:r>
        <w:rPr/>
        <w:t> </w:t>
      </w:r>
    </w:p>
    <w:p>
      <w:pPr>
        <w:pStyle w:val="Normal"/>
        <w:bidi w:val="0"/>
        <w:spacing w:before="0" w:after="0"/>
        <w:jc w:val="left"/>
        <w:rPr>
          <w:sz w:val="4"/>
          <w:szCs w:val="4"/>
        </w:rPr>
      </w:pPr>
      <w:r>
        <w:rPr>
          <w:sz w:val="4"/>
          <w:szCs w:val="4"/>
        </w:rPr>
      </w:r>
      <w:bookmarkStart w:id="11" w:name="Tc_ugc0XnuGjUy2Zekw2rp5-Q_2_2"/>
      <w:bookmarkStart w:id="12" w:name="Tc_RfR_bcDOjUCgnvtHoSI_EA_2_0"/>
      <w:bookmarkStart w:id="13" w:name="Tc_wDkXrJlAAUmSwzFdGVkeCw_1_0"/>
      <w:bookmarkStart w:id="14" w:name="_e090d7dc_684f_44cb_97fb_58d583532ff3"/>
      <w:bookmarkStart w:id="15" w:name="Tc_ugc0XnuGjUy2Zekw2rp5-Q_2_2"/>
      <w:bookmarkStart w:id="16" w:name="Tc_RfR_bcDOjUCgnvtHoSI_EA_2_0"/>
      <w:bookmarkStart w:id="17" w:name="Tc_wDkXrJlAAUmSwzFdGVkeCw_1_0"/>
      <w:bookmarkStart w:id="18" w:name="_e090d7dc_684f_44cb_97fb_58d583532ff3"/>
      <w:bookmarkEnd w:id="15"/>
      <w:bookmarkEnd w:id="16"/>
      <w:bookmarkEnd w:id="17"/>
      <w:bookmarkEnd w:id="18"/>
    </w:p>
    <w:tbl>
      <w:tblPr>
        <w:tblW w:w="4708" w:type="dxa"/>
        <w:jc w:val="left"/>
        <w:tblInd w:w="0" w:type="dxa"/>
        <w:tblLayout w:type="fixed"/>
        <w:tblCellMar>
          <w:top w:w="0" w:type="dxa"/>
          <w:left w:w="0" w:type="dxa"/>
          <w:bottom w:w="0" w:type="dxa"/>
          <w:right w:w="0" w:type="dxa"/>
        </w:tblCellMar>
      </w:tblPr>
      <w:tblGrid>
        <w:gridCol w:w="3526"/>
        <w:gridCol w:w="146"/>
        <w:gridCol w:w="1036"/>
      </w:tblGrid>
      <w:tr>
        <w:trPr/>
        <w:tc>
          <w:tcPr>
            <w:tcW w:w="3526" w:type="dxa"/>
            <w:tcBorders/>
            <w:vAlign w:val="center"/>
          </w:tcPr>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2710" cy="175260"/>
                      <wp:effectExtent l="0" t="0" r="0" b="0"/>
                      <wp:wrapNone/>
                      <wp:docPr id="2" name="Frame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lineRule="auto" w:line="285" w:before="0" w:after="0"/>
              <w:ind w:left="0" w:right="0" w:hanging="0"/>
              <w:jc w:val="center"/>
              <w:rPr/>
            </w:pPr>
            <w:r>
              <w:rPr/>
              <w:t>​</w:t>
            </w:r>
          </w:p>
          <w:p>
            <w:pPr>
              <w:pStyle w:val="TableContents"/>
              <w:bidi w:val="0"/>
              <w:spacing w:lineRule="auto" w:line="285" w:before="0" w:after="0"/>
              <w:ind w:left="0" w:right="0" w:hanging="0"/>
              <w:jc w:val="left"/>
              <w:rPr/>
            </w:pPr>
            <w:r>
              <w:rPr/>
              <w:t>​</w:t>
            </w:r>
          </w:p>
        </w:tc>
      </w:tr>
      <w:tr>
        <w:trPr/>
        <w:tc>
          <w:tcPr>
            <w:tcW w:w="352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PO Box 13628, 68 TW Alexander Drive,</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Research Triangle Park, NC</w:t>
            </w:r>
          </w:p>
        </w:tc>
        <w:tc>
          <w:tcPr>
            <w:tcW w:w="1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center"/>
              <w:rPr/>
            </w:pPr>
            <w:r>
              <w:rPr/>
              <w:t> </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27709</w:t>
            </w:r>
          </w:p>
        </w:tc>
      </w:tr>
      <w:tr>
        <w:trPr/>
        <w:tc>
          <w:tcPr>
            <w:tcW w:w="352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pPr>
      <w:r>
        <w:rPr/>
        <w:t> </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sz w:val="20"/>
        </w:rPr>
        <w:t>Registrant’s telephone number, including area code:</w:t>
      </w:r>
      <w:r>
        <w:rPr>
          <w:rFonts w:ascii="Times New Roman;Times;serif" w:hAnsi="Times New Roman;Times;serif"/>
          <w:sz w:val="20"/>
        </w:rPr>
        <w:t xml:space="preserve"> (</w:t>
      </w:r>
      <w:r>
        <w:rPr>
          <w:rFonts w:ascii="Times New Roman;Times;serif" w:hAnsi="Times New Roman;Times;serif"/>
          <w:b/>
          <w:sz w:val="20"/>
        </w:rPr>
        <w:t>919) 636-4530</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lineRule="auto" w:line="285" w:before="0" w:after="0"/>
        <w:ind w:left="0" w:right="0" w:hanging="0"/>
        <w:jc w:val="left"/>
        <w:rPr/>
      </w:pPr>
      <w:r>
        <w:rPr/>
        <w:t> </w:t>
      </w:r>
    </w:p>
    <w:p>
      <w:pPr>
        <w:pStyle w:val="Normal"/>
        <w:bidi w:val="0"/>
        <w:spacing w:before="0" w:after="0"/>
        <w:jc w:val="left"/>
        <w:rPr>
          <w:sz w:val="4"/>
          <w:szCs w:val="4"/>
        </w:rPr>
      </w:pPr>
      <w:r>
        <w:rPr>
          <w:sz w:val="4"/>
          <w:szCs w:val="4"/>
        </w:rPr>
      </w:r>
      <w:bookmarkStart w:id="19" w:name="Tc_vfcirh-Q3kuQbfSXg3IEGQ_1_2"/>
      <w:bookmarkStart w:id="20" w:name="_605244ff_014d_4223_aa42_d6275a578658"/>
      <w:bookmarkStart w:id="21" w:name="Tc_vfcirh-Q3kuQbfSXg3IEGQ_1_2"/>
      <w:bookmarkStart w:id="22" w:name="_605244ff_014d_4223_aa42_d6275a578658"/>
      <w:bookmarkEnd w:id="21"/>
      <w:bookmarkEnd w:id="22"/>
    </w:p>
    <w:tbl>
      <w:tblPr>
        <w:tblW w:w="7888" w:type="dxa"/>
        <w:jc w:val="left"/>
        <w:tblInd w:w="0" w:type="dxa"/>
        <w:tblLayout w:type="fixed"/>
        <w:tblCellMar>
          <w:top w:w="0" w:type="dxa"/>
          <w:left w:w="0" w:type="dxa"/>
          <w:bottom w:w="0" w:type="dxa"/>
          <w:right w:w="0" w:type="dxa"/>
        </w:tblCellMar>
      </w:tblPr>
      <w:tblGrid>
        <w:gridCol w:w="161"/>
        <w:gridCol w:w="316"/>
        <w:gridCol w:w="7411"/>
      </w:tblGrid>
      <w:tr>
        <w:trPr/>
        <w:tc>
          <w:tcPr>
            <w:tcW w:w="161" w:type="dxa"/>
            <w:tcBorders/>
            <w:vAlign w:val="center"/>
          </w:tcPr>
          <w:p>
            <w:pPr>
              <w:pStyle w:val="TableContents"/>
              <w:bidi w:val="0"/>
              <w:spacing w:lineRule="auto" w:line="285" w:before="0" w:after="0"/>
              <w:ind w:left="0" w:right="0" w:hanging="0"/>
              <w:jc w:val="left"/>
              <w:rPr/>
            </w:pPr>
            <w:r>
              <w:rPr/>
              <w:t>​</w:t>
            </w:r>
          </w:p>
        </w:tc>
        <w:tc>
          <w:tcPr>
            <w:tcW w:w="316" w:type="dxa"/>
            <w:tcBorders/>
            <w:vAlign w:val="center"/>
          </w:tcPr>
          <w:p>
            <w:pPr>
              <w:pStyle w:val="TableContents"/>
              <w:bidi w:val="0"/>
              <w:spacing w:lineRule="auto" w:line="285" w:before="0" w:after="0"/>
              <w:ind w:left="0" w:right="0" w:hanging="0"/>
              <w:jc w:val="left"/>
              <w:rPr/>
            </w:pPr>
            <w:r>
              <w:rPr/>
              <w:t>​</w:t>
            </w:r>
          </w:p>
        </w:tc>
        <w:tc>
          <w:tcPr>
            <w:tcW w:w="7411" w:type="dxa"/>
            <w:tcBorders/>
            <w:vAlign w:val="center"/>
          </w:tcPr>
          <w:p>
            <w:pPr>
              <w:pStyle w:val="TableContents"/>
              <w:bidi w:val="0"/>
              <w:spacing w:lineRule="auto" w:line="285" w:before="0" w:after="0"/>
              <w:ind w:left="0" w:right="0" w:hanging="0"/>
              <w:jc w:val="left"/>
              <w:rPr/>
            </w:pPr>
            <w:r>
              <w:rPr/>
              <w:t>​</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316" w:type="dxa"/>
            <w:tcBorders/>
            <w:vAlign w:val="center"/>
          </w:tcPr>
          <w:p>
            <w:pPr>
              <w:pStyle w:val="TableContents"/>
              <w:bidi w:val="0"/>
              <w:spacing w:lineRule="auto" w:line="285" w:before="0" w:after="0"/>
              <w:ind w:left="0" w:right="0" w:hanging="0"/>
              <w:jc w:val="left"/>
              <w:rPr/>
            </w:pPr>
            <w:r>
              <w:rPr/>
              <w:t>☐</w:t>
            </w:r>
          </w:p>
        </w:tc>
        <w:tc>
          <w:tcPr>
            <w:tcW w:w="741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lineRule="auto" w:line="285" w:before="0" w:after="0"/>
        <w:ind w:left="0" w:right="0" w:hanging="0"/>
        <w:jc w:val="left"/>
        <w:rPr/>
      </w:pPr>
      <w:r>
        <w:rPr/>
        <w:t> </w:t>
      </w:r>
    </w:p>
    <w:p>
      <w:pPr>
        <w:pStyle w:val="Normal"/>
        <w:bidi w:val="0"/>
        <w:spacing w:before="0" w:after="0"/>
        <w:jc w:val="left"/>
        <w:rPr>
          <w:sz w:val="4"/>
          <w:szCs w:val="4"/>
        </w:rPr>
      </w:pPr>
      <w:r>
        <w:rPr>
          <w:sz w:val="4"/>
          <w:szCs w:val="4"/>
        </w:rPr>
      </w:r>
      <w:bookmarkStart w:id="23" w:name="Tc_gr3Yfol9jEufNRFuwVVyEQ_1_2"/>
      <w:bookmarkStart w:id="24" w:name="_fab354cc_01e2_4748_9401_103a3c762fc2"/>
      <w:bookmarkStart w:id="25" w:name="Tc_gr3Yfol9jEufNRFuwVVyEQ_1_2"/>
      <w:bookmarkStart w:id="26" w:name="_fab354cc_01e2_4748_9401_103a3c762fc2"/>
      <w:bookmarkEnd w:id="25"/>
      <w:bookmarkEnd w:id="26"/>
    </w:p>
    <w:tbl>
      <w:tblPr>
        <w:tblW w:w="7918" w:type="dxa"/>
        <w:jc w:val="left"/>
        <w:tblInd w:w="0" w:type="dxa"/>
        <w:tblLayout w:type="fixed"/>
        <w:tblCellMar>
          <w:top w:w="0" w:type="dxa"/>
          <w:left w:w="0" w:type="dxa"/>
          <w:bottom w:w="0" w:type="dxa"/>
          <w:right w:w="0" w:type="dxa"/>
        </w:tblCellMar>
      </w:tblPr>
      <w:tblGrid>
        <w:gridCol w:w="161"/>
        <w:gridCol w:w="316"/>
        <w:gridCol w:w="7441"/>
      </w:tblGrid>
      <w:tr>
        <w:trPr/>
        <w:tc>
          <w:tcPr>
            <w:tcW w:w="161" w:type="dxa"/>
            <w:tcBorders/>
            <w:vAlign w:val="center"/>
          </w:tcPr>
          <w:p>
            <w:pPr>
              <w:pStyle w:val="TableContents"/>
              <w:bidi w:val="0"/>
              <w:spacing w:lineRule="auto" w:line="285" w:before="0" w:after="0"/>
              <w:ind w:left="0" w:right="0" w:hanging="0"/>
              <w:jc w:val="left"/>
              <w:rPr/>
            </w:pPr>
            <w:r>
              <w:rPr/>
              <w:t>​</w:t>
            </w:r>
          </w:p>
        </w:tc>
        <w:tc>
          <w:tcPr>
            <w:tcW w:w="316" w:type="dxa"/>
            <w:tcBorders/>
            <w:vAlign w:val="center"/>
          </w:tcPr>
          <w:p>
            <w:pPr>
              <w:pStyle w:val="TableContents"/>
              <w:bidi w:val="0"/>
              <w:spacing w:lineRule="auto" w:line="285" w:before="0" w:after="0"/>
              <w:ind w:left="0" w:right="0" w:hanging="0"/>
              <w:jc w:val="left"/>
              <w:rPr/>
            </w:pPr>
            <w:r>
              <w:rPr/>
              <w:t>​</w:t>
            </w:r>
          </w:p>
        </w:tc>
        <w:tc>
          <w:tcPr>
            <w:tcW w:w="7441" w:type="dxa"/>
            <w:tcBorders/>
            <w:vAlign w:val="center"/>
          </w:tcPr>
          <w:p>
            <w:pPr>
              <w:pStyle w:val="TableContents"/>
              <w:bidi w:val="0"/>
              <w:spacing w:lineRule="auto" w:line="285" w:before="0" w:after="0"/>
              <w:ind w:left="0" w:right="0" w:hanging="0"/>
              <w:jc w:val="left"/>
              <w:rPr/>
            </w:pPr>
            <w:r>
              <w:rPr/>
              <w:t>​</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316" w:type="dxa"/>
            <w:tcBorders/>
            <w:vAlign w:val="center"/>
          </w:tcPr>
          <w:p>
            <w:pPr>
              <w:pStyle w:val="TableContents"/>
              <w:bidi w:val="0"/>
              <w:spacing w:lineRule="auto" w:line="285" w:before="0" w:after="0"/>
              <w:ind w:left="0" w:right="0" w:hanging="0"/>
              <w:jc w:val="left"/>
              <w:rPr/>
            </w:pPr>
            <w:r>
              <w:rPr/>
              <w:t>☐</w:t>
            </w:r>
          </w:p>
        </w:tc>
        <w:tc>
          <w:tcPr>
            <w:tcW w:w="744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lineRule="auto" w:line="285" w:before="0" w:after="0"/>
        <w:ind w:left="0" w:right="0" w:hanging="0"/>
        <w:jc w:val="left"/>
        <w:rPr/>
      </w:pPr>
      <w:r>
        <w:rPr/>
        <w:t> </w:t>
      </w:r>
    </w:p>
    <w:p>
      <w:pPr>
        <w:pStyle w:val="Normal"/>
        <w:bidi w:val="0"/>
        <w:spacing w:before="0" w:after="0"/>
        <w:jc w:val="left"/>
        <w:rPr>
          <w:sz w:val="4"/>
          <w:szCs w:val="4"/>
        </w:rPr>
      </w:pPr>
      <w:r>
        <w:rPr>
          <w:sz w:val="4"/>
          <w:szCs w:val="4"/>
        </w:rPr>
      </w:r>
      <w:bookmarkStart w:id="27" w:name="Tc_D6ZUAklos0mSWWVgDTeEZA_1_2"/>
      <w:bookmarkStart w:id="28" w:name="_bf069743_f10a_419b_8c12_d2934f366092"/>
      <w:bookmarkStart w:id="29" w:name="Tc_D6ZUAklos0mSWWVgDTeEZA_1_2"/>
      <w:bookmarkStart w:id="30" w:name="_bf069743_f10a_419b_8c12_d2934f366092"/>
      <w:bookmarkEnd w:id="29"/>
      <w:bookmarkEnd w:id="30"/>
    </w:p>
    <w:tbl>
      <w:tblPr>
        <w:tblW w:w="9658" w:type="dxa"/>
        <w:jc w:val="left"/>
        <w:tblInd w:w="0" w:type="dxa"/>
        <w:tblLayout w:type="fixed"/>
        <w:tblCellMar>
          <w:top w:w="0" w:type="dxa"/>
          <w:left w:w="0" w:type="dxa"/>
          <w:bottom w:w="0" w:type="dxa"/>
          <w:right w:w="0" w:type="dxa"/>
        </w:tblCellMar>
      </w:tblPr>
      <w:tblGrid>
        <w:gridCol w:w="161"/>
        <w:gridCol w:w="316"/>
        <w:gridCol w:w="9181"/>
      </w:tblGrid>
      <w:tr>
        <w:trPr/>
        <w:tc>
          <w:tcPr>
            <w:tcW w:w="161" w:type="dxa"/>
            <w:tcBorders/>
            <w:vAlign w:val="center"/>
          </w:tcPr>
          <w:p>
            <w:pPr>
              <w:pStyle w:val="TableContents"/>
              <w:bidi w:val="0"/>
              <w:spacing w:lineRule="auto" w:line="285" w:before="0" w:after="0"/>
              <w:ind w:left="0" w:right="0" w:hanging="0"/>
              <w:jc w:val="left"/>
              <w:rPr/>
            </w:pPr>
            <w:r>
              <w:rPr/>
              <w:t>​</w:t>
            </w:r>
          </w:p>
        </w:tc>
        <w:tc>
          <w:tcPr>
            <w:tcW w:w="316" w:type="dxa"/>
            <w:tcBorders/>
            <w:vAlign w:val="center"/>
          </w:tcPr>
          <w:p>
            <w:pPr>
              <w:pStyle w:val="TableContents"/>
              <w:bidi w:val="0"/>
              <w:spacing w:lineRule="auto" w:line="285" w:before="0" w:after="0"/>
              <w:ind w:left="0" w:right="0" w:hanging="0"/>
              <w:jc w:val="left"/>
              <w:rPr/>
            </w:pPr>
            <w:r>
              <w:rPr/>
              <w:t>​</w:t>
            </w:r>
          </w:p>
        </w:tc>
        <w:tc>
          <w:tcPr>
            <w:tcW w:w="9181" w:type="dxa"/>
            <w:tcBorders/>
            <w:vAlign w:val="center"/>
          </w:tcPr>
          <w:p>
            <w:pPr>
              <w:pStyle w:val="TableContents"/>
              <w:bidi w:val="0"/>
              <w:spacing w:lineRule="auto" w:line="285" w:before="0" w:after="0"/>
              <w:ind w:left="0" w:right="0" w:hanging="0"/>
              <w:jc w:val="left"/>
              <w:rPr/>
            </w:pPr>
            <w:r>
              <w:rPr/>
              <w:t>​</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316" w:type="dxa"/>
            <w:tcBorders/>
            <w:vAlign w:val="center"/>
          </w:tcPr>
          <w:p>
            <w:pPr>
              <w:pStyle w:val="TableContents"/>
              <w:bidi w:val="0"/>
              <w:spacing w:lineRule="auto" w:line="285" w:before="0" w:after="0"/>
              <w:ind w:left="0" w:right="0" w:hanging="0"/>
              <w:jc w:val="left"/>
              <w:rPr/>
            </w:pPr>
            <w:r>
              <w:rPr/>
              <w:t>☐</w:t>
            </w:r>
          </w:p>
        </w:tc>
        <w:tc>
          <w:tcPr>
            <w:tcW w:w="918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lineRule="auto" w:line="285" w:before="0" w:after="0"/>
        <w:ind w:left="0" w:right="0" w:hanging="0"/>
        <w:jc w:val="left"/>
        <w:rPr/>
      </w:pPr>
      <w:r>
        <w:rPr/>
        <w:t> </w:t>
      </w:r>
    </w:p>
    <w:p>
      <w:pPr>
        <w:pStyle w:val="Normal"/>
        <w:bidi w:val="0"/>
        <w:spacing w:before="0" w:after="0"/>
        <w:jc w:val="left"/>
        <w:rPr>
          <w:sz w:val="4"/>
          <w:szCs w:val="4"/>
        </w:rPr>
      </w:pPr>
      <w:r>
        <w:rPr>
          <w:sz w:val="4"/>
          <w:szCs w:val="4"/>
        </w:rPr>
      </w:r>
      <w:bookmarkStart w:id="31" w:name="Tc_AT6gjir_O0eqAyDJTZAzAQ_1_2"/>
      <w:bookmarkStart w:id="32" w:name="_ba6b5d52_6143_4356_af7f_19f2aff75a6e"/>
      <w:bookmarkStart w:id="33" w:name="Tc_AT6gjir_O0eqAyDJTZAzAQ_1_2"/>
      <w:bookmarkStart w:id="34" w:name="_ba6b5d52_6143_4356_af7f_19f2aff75a6e"/>
      <w:bookmarkEnd w:id="33"/>
      <w:bookmarkEnd w:id="34"/>
    </w:p>
    <w:tbl>
      <w:tblPr>
        <w:tblW w:w="9598" w:type="dxa"/>
        <w:jc w:val="left"/>
        <w:tblInd w:w="0" w:type="dxa"/>
        <w:tblLayout w:type="fixed"/>
        <w:tblCellMar>
          <w:top w:w="0" w:type="dxa"/>
          <w:left w:w="0" w:type="dxa"/>
          <w:bottom w:w="0" w:type="dxa"/>
          <w:right w:w="0" w:type="dxa"/>
        </w:tblCellMar>
      </w:tblPr>
      <w:tblGrid>
        <w:gridCol w:w="161"/>
        <w:gridCol w:w="316"/>
        <w:gridCol w:w="9121"/>
      </w:tblGrid>
      <w:tr>
        <w:trPr/>
        <w:tc>
          <w:tcPr>
            <w:tcW w:w="161" w:type="dxa"/>
            <w:tcBorders/>
            <w:vAlign w:val="center"/>
          </w:tcPr>
          <w:p>
            <w:pPr>
              <w:pStyle w:val="TableContents"/>
              <w:bidi w:val="0"/>
              <w:spacing w:lineRule="auto" w:line="285" w:before="0" w:after="0"/>
              <w:ind w:left="0" w:right="0" w:hanging="0"/>
              <w:jc w:val="left"/>
              <w:rPr/>
            </w:pPr>
            <w:r>
              <w:rPr/>
              <w:t>​</w:t>
            </w:r>
          </w:p>
        </w:tc>
        <w:tc>
          <w:tcPr>
            <w:tcW w:w="316" w:type="dxa"/>
            <w:tcBorders/>
            <w:vAlign w:val="center"/>
          </w:tcPr>
          <w:p>
            <w:pPr>
              <w:pStyle w:val="TableContents"/>
              <w:bidi w:val="0"/>
              <w:spacing w:lineRule="auto" w:line="285" w:before="0" w:after="0"/>
              <w:ind w:left="0" w:right="0" w:hanging="0"/>
              <w:jc w:val="left"/>
              <w:rPr/>
            </w:pPr>
            <w:r>
              <w:rPr/>
              <w:t>​</w:t>
            </w:r>
          </w:p>
        </w:tc>
        <w:tc>
          <w:tcPr>
            <w:tcW w:w="9121" w:type="dxa"/>
            <w:tcBorders/>
            <w:vAlign w:val="center"/>
          </w:tcPr>
          <w:p>
            <w:pPr>
              <w:pStyle w:val="TableContents"/>
              <w:bidi w:val="0"/>
              <w:spacing w:lineRule="auto" w:line="285" w:before="0" w:after="0"/>
              <w:ind w:left="0" w:right="0" w:hanging="0"/>
              <w:jc w:val="left"/>
              <w:rPr/>
            </w:pPr>
            <w:r>
              <w:rPr/>
              <w:t>​</w:t>
            </w:r>
          </w:p>
        </w:tc>
      </w:tr>
      <w:tr>
        <w:trPr/>
        <w:tc>
          <w:tcPr>
            <w:tcW w:w="161" w:type="dxa"/>
            <w:tcBorders/>
            <w:vAlign w:val="center"/>
          </w:tcPr>
          <w:p>
            <w:pPr>
              <w:pStyle w:val="TableContents"/>
              <w:bidi w:val="0"/>
              <w:spacing w:lineRule="auto" w:line="285" w:before="0" w:after="0"/>
              <w:ind w:left="0" w:right="0" w:hanging="0"/>
              <w:jc w:val="left"/>
              <w:rPr/>
            </w:pPr>
            <w:r>
              <w:rPr/>
              <w:t> </w:t>
            </w:r>
          </w:p>
        </w:tc>
        <w:tc>
          <w:tcPr>
            <w:tcW w:w="316" w:type="dxa"/>
            <w:tcBorders/>
            <w:vAlign w:val="center"/>
          </w:tcPr>
          <w:p>
            <w:pPr>
              <w:pStyle w:val="TableContents"/>
              <w:bidi w:val="0"/>
              <w:spacing w:lineRule="auto" w:line="285" w:before="0" w:after="0"/>
              <w:ind w:left="0" w:right="0" w:hanging="0"/>
              <w:jc w:val="left"/>
              <w:rPr/>
            </w:pPr>
            <w:r>
              <w:rPr/>
              <w:t>☐</w:t>
            </w:r>
          </w:p>
        </w:tc>
        <w:tc>
          <w:tcPr>
            <w:tcW w:w="912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 of the Act:</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35" w:name="Tc_f4cbQwKEj0STmq32V2X2Qg_2_2"/>
      <w:bookmarkStart w:id="36" w:name="Tc_km5gRcANtUqWfuXhdcWJHw_1_2"/>
      <w:bookmarkStart w:id="37" w:name="Tc_oViKKiMCcUCUDaMknCEj7w_1_1"/>
      <w:bookmarkStart w:id="38" w:name="Tc_fv78SNoOmkCfdVHzZw7bmA_1_0"/>
      <w:bookmarkStart w:id="39" w:name="_2a233d4b_687d_4358_bb03_f1831b91a917"/>
      <w:bookmarkStart w:id="40" w:name="Tc_f4cbQwKEj0STmq32V2X2Qg_2_2"/>
      <w:bookmarkStart w:id="41" w:name="Tc_km5gRcANtUqWfuXhdcWJHw_1_2"/>
      <w:bookmarkStart w:id="42" w:name="Tc_oViKKiMCcUCUDaMknCEj7w_1_1"/>
      <w:bookmarkStart w:id="43" w:name="Tc_fv78SNoOmkCfdVHzZw7bmA_1_0"/>
      <w:bookmarkStart w:id="44" w:name="_2a233d4b_687d_4358_bb03_f1831b91a917"/>
      <w:bookmarkEnd w:id="40"/>
      <w:bookmarkEnd w:id="41"/>
      <w:bookmarkEnd w:id="42"/>
      <w:bookmarkEnd w:id="43"/>
      <w:bookmarkEnd w:id="44"/>
    </w:p>
    <w:tbl>
      <w:tblPr>
        <w:tblW w:w="7803" w:type="dxa"/>
        <w:jc w:val="left"/>
        <w:tblInd w:w="0" w:type="dxa"/>
        <w:tblLayout w:type="fixed"/>
        <w:tblCellMar>
          <w:top w:w="0" w:type="dxa"/>
          <w:left w:w="0" w:type="dxa"/>
          <w:bottom w:w="0" w:type="dxa"/>
          <w:right w:w="0" w:type="dxa"/>
        </w:tblCellMar>
      </w:tblPr>
      <w:tblGrid>
        <w:gridCol w:w="2506"/>
        <w:gridCol w:w="1591"/>
        <w:gridCol w:w="370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591310" cy="175260"/>
                      <wp:effectExtent l="0" t="0" r="0" b="0"/>
                      <wp:wrapNone/>
                      <wp:docPr id="3" name="Frame3"/>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10285" cy="175260"/>
                      <wp:effectExtent l="0" t="0" r="0" b="0"/>
                      <wp:wrapNone/>
                      <wp:docPr id="4" name="Frame4"/>
                      <a:graphic xmlns:a="http://schemas.openxmlformats.org/drawingml/2006/main">
                        <a:graphicData uri="http://schemas.microsoft.com/office/word/2010/wordprocessingShape">
                          <wps:wsp>
                            <wps:cNvSpPr txBox="1"/>
                            <wps:spPr>
                              <a:xfrm>
                                <a:off x="0" y="0"/>
                                <a:ext cx="1010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353310" cy="175260"/>
                      <wp:effectExtent l="0" t="0" r="0" b="0"/>
                      <wp:wrapNone/>
                      <wp:docPr id="5" name="Frame5"/>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506"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lineRule="auto" w:line="285" w:before="22"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591" w:type="dxa"/>
            <w:tcBorders>
              <w:top w:val="single" w:sz="2" w:space="0" w:color="000000"/>
              <w:left w:val="single" w:sz="2" w:space="0" w:color="000000"/>
              <w:bottom w:val="single" w:sz="2" w:space="0" w:color="000000"/>
            </w:tcBorders>
            <w:tcMar>
              <w:top w:w="28" w:type="dxa"/>
              <w:left w:w="28" w:type="dxa"/>
              <w:bottom w:w="28" w:type="dxa"/>
            </w:tcMar>
            <w:vAlign w:val="center"/>
          </w:tcPr>
          <w:p>
            <w:pPr>
              <w:pStyle w:val="TableContents"/>
              <w:bidi w:val="0"/>
              <w:spacing w:lineRule="auto" w:line="285" w:before="22"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285" w:before="22"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506" w:type="dxa"/>
            <w:tcBorders>
              <w:left w:val="single" w:sz="2" w:space="0" w:color="000000"/>
              <w:bottom w:val="single" w:sz="2" w:space="0" w:color="000000"/>
            </w:tcBorders>
            <w:tcMar>
              <w:left w:w="28" w:type="dxa"/>
              <w:bottom w:w="28" w:type="dxa"/>
            </w:tcMar>
            <w:vAlign w:val="center"/>
          </w:tcPr>
          <w:p>
            <w:pPr>
              <w:pStyle w:val="TableContents"/>
              <w:bidi w:val="0"/>
              <w:spacing w:lineRule="auto" w:line="285" w:before="22" w:after="0"/>
              <w:ind w:left="0" w:right="0" w:hanging="0"/>
              <w:jc w:val="center"/>
              <w:rPr>
                <w:rFonts w:ascii="Times New Roman;Times;serif" w:hAnsi="Times New Roman;Times;serif"/>
                <w:sz w:val="20"/>
              </w:rPr>
            </w:pPr>
            <w:r>
              <w:rPr>
                <w:rFonts w:ascii="Times New Roman;Times;serif" w:hAnsi="Times New Roman;Times;serif"/>
                <w:sz w:val="20"/>
              </w:rPr>
              <w:t>Common shares, no par value</w:t>
            </w:r>
          </w:p>
        </w:tc>
        <w:tc>
          <w:tcPr>
            <w:tcW w:w="1591" w:type="dxa"/>
            <w:tcBorders>
              <w:left w:val="single" w:sz="2" w:space="0" w:color="000000"/>
              <w:bottom w:val="single" w:sz="2" w:space="0" w:color="000000"/>
            </w:tcBorders>
            <w:tcMar>
              <w:left w:w="28" w:type="dxa"/>
              <w:bottom w:w="28" w:type="dxa"/>
            </w:tcMar>
            <w:vAlign w:val="center"/>
          </w:tcPr>
          <w:p>
            <w:pPr>
              <w:pStyle w:val="TableContents"/>
              <w:bidi w:val="0"/>
              <w:spacing w:lineRule="auto" w:line="285" w:before="22" w:after="0"/>
              <w:ind w:left="0" w:right="0" w:hanging="0"/>
              <w:jc w:val="center"/>
              <w:rPr>
                <w:rFonts w:ascii="Times New Roman;Times;serif" w:hAnsi="Times New Roman;Times;serif"/>
                <w:sz w:val="20"/>
              </w:rPr>
            </w:pPr>
            <w:r>
              <w:rPr>
                <w:rFonts w:ascii="Times New Roman;Times;serif" w:hAnsi="Times New Roman;Times;serif"/>
                <w:sz w:val="20"/>
              </w:rPr>
              <w:t>FENC</w:t>
            </w:r>
          </w:p>
        </w:tc>
        <w:tc>
          <w:tcPr>
            <w:tcW w:w="3706" w:type="dxa"/>
            <w:tcBorders>
              <w:left w:val="single" w:sz="2" w:space="0" w:color="000000"/>
              <w:bottom w:val="single" w:sz="2" w:space="0" w:color="000000"/>
              <w:right w:val="single" w:sz="2" w:space="0" w:color="000000"/>
            </w:tcBorders>
            <w:tcMar>
              <w:left w:w="28" w:type="dxa"/>
              <w:bottom w:w="28" w:type="dxa"/>
              <w:right w:w="28" w:type="dxa"/>
            </w:tcMar>
            <w:vAlign w:val="center"/>
          </w:tcPr>
          <w:p>
            <w:pPr>
              <w:pStyle w:val="TableContents"/>
              <w:bidi w:val="0"/>
              <w:spacing w:lineRule="auto" w:line="285" w:before="22" w:after="0"/>
              <w:ind w:left="22" w:right="22" w:hanging="0"/>
              <w:jc w:val="center"/>
              <w:rPr>
                <w:rFonts w:ascii="Times New Roman;Times;serif" w:hAnsi="Times New Roman;Times;serif"/>
                <w:sz w:val="20"/>
              </w:rPr>
            </w:pPr>
            <w:r>
              <w:rPr>
                <w:rFonts w:ascii="Times New Roman;Times;serif" w:hAnsi="Times New Roman;Times;serif"/>
                <w:sz w:val="20"/>
              </w:rPr>
              <w:t>Nasdaq Capital Market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5" w:before="0" w:after="0"/>
        <w:ind w:left="0" w:right="0" w:hanging="0"/>
        <w:jc w:val="left"/>
        <w:rPr/>
      </w:pPr>
      <w:r>
        <w:rPr/>
        <w:t> </w:t>
      </w:r>
    </w:p>
    <w:p>
      <w:pPr>
        <w:pStyle w:val="TextBody"/>
        <w:bidi w:val="0"/>
        <w:spacing w:lineRule="auto" w:line="285" w:before="0" w:after="0"/>
        <w:ind w:left="264" w:right="1122"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5" w:before="0" w:after="0"/>
        <w:ind w:left="0" w:right="0" w:hanging="0"/>
        <w:jc w:val="left"/>
        <w:rPr/>
      </w:pPr>
      <w:r>
        <w:rPr/>
        <w:t>  </w:t>
      </w:r>
    </w:p>
    <w:p>
      <w:pPr>
        <w:pStyle w:val="TextBody"/>
        <w:pBdr/>
        <w:bidi w:val="0"/>
        <w:spacing w:lineRule="auto" w:line="285" w:before="0" w:after="0"/>
        <w:ind w:left="0" w:right="0" w:hanging="0"/>
        <w:jc w:val="left"/>
        <w:rPr/>
      </w:pPr>
      <w:r>
        <w:rPr/>
        <w:t> </w:t>
      </w:r>
    </w:p>
    <w:p>
      <w:pPr>
        <w:pStyle w:val="TextBody"/>
        <w:pBdr>
          <w:bottom w:val="single" w:sz="2" w:space="1" w:color="000000"/>
        </w:pBdr>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bookmarkStart w:id="45" w:name="item_1_30_1"/>
      <w:bookmarkStart w:id="46" w:name="part_1_2_1"/>
      <w:bookmarkEnd w:id="45"/>
      <w:bookmarkEnd w:id="46"/>
      <w:r>
        <w:rPr/>
        <w:t> </w:t>
      </w:r>
    </w:p>
    <w:p>
      <w:pPr>
        <w:pStyle w:val="TextBody"/>
        <w:bidi w:val="0"/>
        <w:spacing w:lineRule="auto" w:line="285" w:before="0" w:after="0"/>
        <w:ind w:left="0" w:right="0" w:hanging="0"/>
        <w:jc w:val="left"/>
        <w:rPr/>
      </w:pPr>
      <w:bookmarkStart w:id="47" w:name="_c7afdf98_2568_4de4_9f90_53c45ed87900"/>
      <w:bookmarkEnd w:id="47"/>
      <w:r>
        <w:rPr/>
        <w:t>​</w:t>
      </w:r>
    </w:p>
    <w:tbl>
      <w:tblPr>
        <w:tblW w:w="5057" w:type="dxa"/>
        <w:jc w:val="left"/>
        <w:tblInd w:w="0" w:type="dxa"/>
        <w:tblLayout w:type="fixed"/>
        <w:tblCellMar>
          <w:top w:w="0" w:type="dxa"/>
          <w:left w:w="0" w:type="dxa"/>
          <w:bottom w:w="0" w:type="dxa"/>
          <w:right w:w="0" w:type="dxa"/>
        </w:tblCellMar>
      </w:tblPr>
      <w:tblGrid>
        <w:gridCol w:w="961"/>
        <w:gridCol w:w="4096"/>
      </w:tblGrid>
      <w:tr>
        <w:trPr/>
        <w:tc>
          <w:tcPr>
            <w:tcW w:w="961" w:type="dxa"/>
            <w:tcBorders/>
            <w:vAlign w:val="center"/>
          </w:tcPr>
          <w:p>
            <w:pPr>
              <w:pStyle w:val="TableContents"/>
              <w:bidi w:val="0"/>
              <w:spacing w:lineRule="auto" w:line="285" w:before="0" w:after="0"/>
              <w:ind w:left="0" w:right="0" w:hanging="0"/>
              <w:jc w:val="left"/>
              <w:rPr/>
            </w:pPr>
            <w:r>
              <w:rPr/>
              <w:t>​</w:t>
            </w:r>
          </w:p>
        </w:tc>
        <w:tc>
          <w:tcPr>
            <w:tcW w:w="4096" w:type="dxa"/>
            <w:tcBorders/>
            <w:vAlign w:val="center"/>
          </w:tcPr>
          <w:p>
            <w:pPr>
              <w:pStyle w:val="TableContents"/>
              <w:bidi w:val="0"/>
              <w:spacing w:lineRule="auto" w:line="285" w:before="0" w:after="0"/>
              <w:ind w:left="0" w:right="0" w:hanging="0"/>
              <w:jc w:val="left"/>
              <w:rPr/>
            </w:pPr>
            <w:r>
              <w:rPr/>
              <w:t>​</w:t>
            </w:r>
          </w:p>
        </w:tc>
      </w:tr>
      <w:tr>
        <w:trPr/>
        <w:tc>
          <w:tcPr>
            <w:tcW w:w="96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Item 2.02.</w:t>
            </w:r>
          </w:p>
        </w:tc>
        <w:tc>
          <w:tcPr>
            <w:tcW w:w="409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550"/>
        <w:jc w:val="both"/>
        <w:rPr/>
      </w:pPr>
      <w:r>
        <w:rPr/>
        <w:t> </w:t>
      </w:r>
    </w:p>
    <w:p>
      <w:pPr>
        <w:pStyle w:val="TextBody"/>
        <w:bidi w:val="0"/>
        <w:spacing w:lineRule="auto" w:line="285" w:before="0" w:after="0"/>
        <w:ind w:left="0" w:right="0" w:firstLine="550"/>
        <w:jc w:val="both"/>
        <w:rPr>
          <w:rFonts w:ascii="Times New Roman;Times;serif" w:hAnsi="Times New Roman;Times;serif"/>
          <w:sz w:val="20"/>
        </w:rPr>
      </w:pPr>
      <w:r>
        <w:rPr>
          <w:rFonts w:ascii="Times New Roman;Times;serif" w:hAnsi="Times New Roman;Times;serif"/>
          <w:sz w:val="20"/>
        </w:rPr>
        <w:t>On March 24, 2026, Fennec Pharmaceuticals Inc. issued a news release announcing full year and fourth quarter financial results for the period ended December 31, 2025. A copy of the news release is attached as Exhibit 99.1 to this Current Report on Form 8-K.</w:t>
      </w:r>
    </w:p>
    <w:p>
      <w:pPr>
        <w:pStyle w:val="TextBody"/>
        <w:bidi w:val="0"/>
        <w:spacing w:lineRule="auto" w:line="285" w:before="0" w:after="0"/>
        <w:ind w:left="0" w:right="0" w:firstLine="550"/>
        <w:jc w:val="both"/>
        <w:rPr/>
      </w:pPr>
      <w:r>
        <w:rPr/>
        <w:t> </w:t>
      </w:r>
    </w:p>
    <w:p>
      <w:pPr>
        <w:pStyle w:val="TextBody"/>
        <w:bidi w:val="0"/>
        <w:spacing w:lineRule="auto" w:line="285" w:before="0" w:after="0"/>
        <w:ind w:left="0" w:right="0" w:firstLine="550"/>
        <w:jc w:val="both"/>
        <w:rPr>
          <w:rFonts w:ascii="Times New Roman;Times;serif" w:hAnsi="Times New Roman;Times;serif"/>
          <w:sz w:val="20"/>
        </w:rPr>
      </w:pPr>
      <w:r>
        <w:rPr>
          <w:rFonts w:ascii="Times New Roman;Times;serif" w:hAnsi="Times New Roman;Times;serif"/>
          <w:sz w:val="20"/>
        </w:rPr>
        <w:t>The information contained in this Current Report on Form 8-K, including the exhibit attached hereto, is being furnished and shall not be deemed to be filed for the purposes of Section 18 of the Securities Exchange Act of 1934 (the “Exchange Act”), or incorporated by reference into any filing under the Securities Act of 1933 or the Exchange Act, unless such subsequent filing specifically references this Form 8-K.</w:t>
      </w:r>
    </w:p>
    <w:p>
      <w:pPr>
        <w:pStyle w:val="TextBody"/>
        <w:bidi w:val="0"/>
        <w:spacing w:lineRule="auto" w:line="285" w:before="0" w:after="0"/>
        <w:ind w:left="0" w:right="0" w:firstLine="550"/>
        <w:jc w:val="both"/>
        <w:rPr/>
      </w:pPr>
      <w:r>
        <w:rPr/>
        <w:t>  </w:t>
      </w:r>
    </w:p>
    <w:p>
      <w:pPr>
        <w:pStyle w:val="TextBody"/>
        <w:bidi w:val="0"/>
        <w:spacing w:lineRule="auto" w:line="285" w:before="0" w:after="0"/>
        <w:ind w:left="0" w:right="0" w:firstLine="550"/>
        <w:jc w:val="both"/>
        <w:rPr/>
      </w:pPr>
      <w:bookmarkStart w:id="48" w:name="item_1_47_1"/>
      <w:bookmarkStart w:id="49" w:name="part_1_2_2"/>
      <w:bookmarkEnd w:id="48"/>
      <w:bookmarkEnd w:id="49"/>
      <w:r>
        <w:rPr/>
        <w:t> </w:t>
      </w:r>
    </w:p>
    <w:p>
      <w:pPr>
        <w:pStyle w:val="TextBody"/>
        <w:bidi w:val="0"/>
        <w:spacing w:lineRule="auto" w:line="285" w:before="0" w:after="0"/>
        <w:ind w:left="0" w:right="0" w:firstLine="550"/>
        <w:jc w:val="both"/>
        <w:rPr/>
      </w:pPr>
      <w:bookmarkStart w:id="50" w:name="_e3d85321_a057_4a40_85ba_9b2eeacc4434"/>
      <w:bookmarkEnd w:id="50"/>
      <w:r>
        <w:rPr/>
        <w:t>​</w:t>
      </w:r>
    </w:p>
    <w:tbl>
      <w:tblPr>
        <w:tblW w:w="3992" w:type="dxa"/>
        <w:jc w:val="left"/>
        <w:tblInd w:w="0" w:type="dxa"/>
        <w:tblLayout w:type="fixed"/>
        <w:tblCellMar>
          <w:top w:w="0" w:type="dxa"/>
          <w:left w:w="0" w:type="dxa"/>
          <w:bottom w:w="0" w:type="dxa"/>
          <w:right w:w="0" w:type="dxa"/>
        </w:tblCellMar>
      </w:tblPr>
      <w:tblGrid>
        <w:gridCol w:w="916"/>
        <w:gridCol w:w="3076"/>
      </w:tblGrid>
      <w:tr>
        <w:trPr/>
        <w:tc>
          <w:tcPr>
            <w:tcW w:w="916" w:type="dxa"/>
            <w:tcBorders/>
            <w:vAlign w:val="center"/>
          </w:tcPr>
          <w:p>
            <w:pPr>
              <w:pStyle w:val="TableContents"/>
              <w:bidi w:val="0"/>
              <w:spacing w:lineRule="auto" w:line="285" w:before="0" w:after="0"/>
              <w:ind w:left="0" w:right="0" w:hanging="0"/>
              <w:jc w:val="left"/>
              <w:rPr/>
            </w:pPr>
            <w:r>
              <w:rPr/>
              <w:t>​</w:t>
            </w:r>
          </w:p>
        </w:tc>
        <w:tc>
          <w:tcPr>
            <w:tcW w:w="3076" w:type="dxa"/>
            <w:tcBorders/>
            <w:vAlign w:val="center"/>
          </w:tcPr>
          <w:p>
            <w:pPr>
              <w:pStyle w:val="TableContents"/>
              <w:bidi w:val="0"/>
              <w:spacing w:lineRule="auto" w:line="285" w:before="0" w:after="0"/>
              <w:ind w:left="0" w:right="0" w:hanging="0"/>
              <w:jc w:val="left"/>
              <w:rPr/>
            </w:pPr>
            <w:r>
              <w:rPr/>
              <w:t>​</w:t>
            </w:r>
          </w:p>
        </w:tc>
      </w:tr>
      <w:tr>
        <w:trPr/>
        <w:tc>
          <w:tcPr>
            <w:tcW w:w="91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Item 9.01</w:t>
            </w:r>
          </w:p>
        </w:tc>
        <w:tc>
          <w:tcPr>
            <w:tcW w:w="3076" w:type="dxa"/>
            <w:tcBorders/>
            <w:vAlign w:val="center"/>
          </w:tcPr>
          <w:p>
            <w:pPr>
              <w:pStyle w:val="TableContents"/>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836"/>
        <w:jc w:val="left"/>
        <w:rPr/>
      </w:pPr>
      <w:r>
        <w:rPr/>
        <w:t> </w:t>
      </w:r>
    </w:p>
    <w:tbl>
      <w:tblPr>
        <w:tblW w:w="1378" w:type="dxa"/>
        <w:jc w:val="left"/>
        <w:tblInd w:w="0" w:type="dxa"/>
        <w:tblLayout w:type="fixed"/>
        <w:tblCellMar>
          <w:top w:w="0" w:type="dxa"/>
          <w:left w:w="0" w:type="dxa"/>
          <w:bottom w:w="0" w:type="dxa"/>
          <w:right w:w="0" w:type="dxa"/>
        </w:tblCellMar>
      </w:tblPr>
      <w:tblGrid>
        <w:gridCol w:w="161"/>
        <w:gridCol w:w="331"/>
        <w:gridCol w:w="886"/>
      </w:tblGrid>
      <w:tr>
        <w:trPr/>
        <w:tc>
          <w:tcPr>
            <w:tcW w:w="161" w:type="dxa"/>
            <w:tcBorders/>
            <w:vAlign w:val="center"/>
          </w:tcPr>
          <w:p>
            <w:pPr>
              <w:pStyle w:val="TableContents"/>
              <w:bidi w:val="0"/>
              <w:spacing w:lineRule="auto" w:line="285" w:before="0" w:after="0"/>
              <w:ind w:left="0" w:right="0" w:hanging="0"/>
              <w:jc w:val="left"/>
              <w:rPr/>
            </w:pPr>
            <w:r>
              <w:rPr/>
              <w:t> </w:t>
            </w:r>
          </w:p>
        </w:tc>
        <w:tc>
          <w:tcPr>
            <w:tcW w:w="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886"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Exhibits.</w:t>
            </w:r>
          </w:p>
        </w:tc>
      </w:tr>
    </w:tbl>
    <w:p>
      <w:pPr>
        <w:pStyle w:val="TextBody"/>
        <w:bidi w:val="0"/>
        <w:spacing w:lineRule="auto" w:line="285" w:before="0" w:after="0"/>
        <w:ind w:left="0" w:right="0" w:hanging="0"/>
        <w:jc w:val="left"/>
        <w:rPr/>
      </w:pPr>
      <w:r>
        <w:rPr/>
        <w:t> </w:t>
      </w:r>
    </w:p>
    <w:tbl>
      <w:tblPr>
        <w:tblW w:w="10202" w:type="dxa"/>
        <w:jc w:val="left"/>
        <w:tblInd w:w="0" w:type="dxa"/>
        <w:tblLayout w:type="fixed"/>
        <w:tblCellMar>
          <w:top w:w="0" w:type="dxa"/>
          <w:left w:w="0" w:type="dxa"/>
          <w:bottom w:w="0" w:type="dxa"/>
          <w:right w:w="0" w:type="dxa"/>
        </w:tblCellMar>
      </w:tblPr>
      <w:tblGrid>
        <w:gridCol w:w="1141"/>
        <w:gridCol w:w="9061"/>
      </w:tblGrid>
      <w:tr>
        <w:trPr/>
        <w:tc>
          <w:tcPr>
            <w:tcW w:w="1141" w:type="dxa"/>
            <w:tcBorders/>
            <w:vAlign w:val="center"/>
          </w:tcPr>
          <w:p>
            <w:pPr>
              <w:pStyle w:val="TableContents"/>
              <w:bidi w:val="0"/>
              <w:spacing w:lineRule="auto" w:line="285" w:before="0" w:after="0"/>
              <w:ind w:left="0" w:right="0" w:hanging="0"/>
              <w:jc w:val="left"/>
              <w:rPr/>
            </w:pPr>
            <w:r>
              <w:rPr/>
              <w:t>​</w:t>
            </w:r>
          </w:p>
        </w:tc>
        <w:tc>
          <w:tcPr>
            <w:tcW w:w="9061" w:type="dxa"/>
            <w:tcBorders/>
            <w:vAlign w:val="center"/>
          </w:tcPr>
          <w:p>
            <w:pPr>
              <w:pStyle w:val="TableContents"/>
              <w:bidi w:val="0"/>
              <w:spacing w:lineRule="auto" w:line="285" w:before="0" w:after="0"/>
              <w:ind w:left="0" w:right="0" w:hanging="0"/>
              <w:jc w:val="left"/>
              <w:rPr/>
            </w:pPr>
            <w:r>
              <w:rPr/>
              <w:t>​</w:t>
            </w:r>
          </w:p>
        </w:tc>
      </w:tr>
      <w:tr>
        <w:trPr/>
        <w:tc>
          <w:tcPr>
            <w:tcW w:w="1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Exhibit No.</w:t>
            </w:r>
          </w:p>
        </w:tc>
        <w:tc>
          <w:tcPr>
            <w:tcW w:w="9061" w:type="dxa"/>
            <w:tcBorders/>
            <w:vAlign w:val="center"/>
          </w:tcPr>
          <w:p>
            <w:pPr>
              <w:pStyle w:val="TableContents"/>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Description</w:t>
            </w:r>
          </w:p>
        </w:tc>
      </w:tr>
      <w:tr>
        <w:trPr/>
        <w:tc>
          <w:tcPr>
            <w:tcW w:w="1141" w:type="dxa"/>
            <w:tcBorders/>
            <w:vAlign w:val="center"/>
          </w:tcPr>
          <w:p>
            <w:pPr>
              <w:pStyle w:val="TableContents"/>
              <w:bidi w:val="0"/>
              <w:spacing w:lineRule="auto" w:line="285" w:before="0" w:after="0"/>
              <w:ind w:left="0" w:right="0" w:hanging="0"/>
              <w:jc w:val="left"/>
              <w:rPr/>
            </w:pPr>
            <w:r>
              <w:rPr/>
              <w:t> </w:t>
            </w:r>
          </w:p>
        </w:tc>
        <w:tc>
          <w:tcPr>
            <w:tcW w:w="9061" w:type="dxa"/>
            <w:tcBorders/>
            <w:vAlign w:val="center"/>
          </w:tcPr>
          <w:p>
            <w:pPr>
              <w:pStyle w:val="TableContents"/>
              <w:bidi w:val="0"/>
              <w:spacing w:lineRule="auto" w:line="285" w:before="0" w:after="0"/>
              <w:ind w:left="0" w:right="0" w:hanging="0"/>
              <w:jc w:val="both"/>
              <w:rPr/>
            </w:pPr>
            <w:r>
              <w:rPr/>
              <w:t> </w:t>
            </w:r>
          </w:p>
        </w:tc>
      </w:tr>
      <w:tr>
        <w:trPr/>
        <w:tc>
          <w:tcPr>
            <w:tcW w:w="1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Exhibit 99.1</w:t>
            </w:r>
          </w:p>
        </w:tc>
        <w:tc>
          <w:tcPr>
            <w:tcW w:w="9061" w:type="dxa"/>
            <w:tcBorders/>
            <w:vAlign w:val="center"/>
          </w:tcPr>
          <w:p>
            <w:pPr>
              <w:pStyle w:val="TableContents"/>
              <w:bidi w:val="0"/>
              <w:spacing w:lineRule="auto" w:line="285" w:before="0" w:after="0"/>
              <w:ind w:left="0" w:right="0" w:hanging="0"/>
              <w:jc w:val="left"/>
              <w:rPr/>
            </w:pPr>
            <w:hyperlink w:anchor="fencf-20260324xex99d1.htm">
              <w:r>
                <w:rPr>
                  <w:rStyle w:val="InternetLink"/>
                  <w:rFonts w:ascii="Times New Roman;Times;serif" w:hAnsi="Times New Roman;Times;serif"/>
                  <w:b w:val="false"/>
                  <w:i w:val="false"/>
                  <w:caps w:val="false"/>
                  <w:smallCaps w:val="false"/>
                  <w:sz w:val="20"/>
                </w:rPr>
                <w:t>Press Release dated March 24, 2026</w:t>
              </w:r>
            </w:hyperlink>
          </w:p>
        </w:tc>
      </w:tr>
      <w:tr>
        <w:trPr/>
        <w:tc>
          <w:tcPr>
            <w:tcW w:w="1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Exhibit 104</w:t>
            </w:r>
          </w:p>
        </w:tc>
        <w:tc>
          <w:tcPr>
            <w:tcW w:w="9061" w:type="dxa"/>
            <w:tcBorders/>
            <w:vAlign w:val="center"/>
          </w:tcPr>
          <w:p>
            <w:pPr>
              <w:pStyle w:val="TableContents"/>
              <w:bidi w:val="0"/>
              <w:spacing w:lineRule="auto" w:line="285" w:before="0" w:after="0"/>
              <w:ind w:left="110" w:right="0" w:hanging="0"/>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within the inline XBRL document)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 </w:t>
      </w:r>
    </w:p>
    <w:p>
      <w:pPr>
        <w:pStyle w:val="TextBody"/>
        <w:pBdr>
          <w:bottom w:val="single" w:sz="2" w:space="1" w:color="000000"/>
        </w:pBdr>
        <w:bidi w:val="0"/>
        <w:spacing w:lineRule="auto" w:line="285" w:before="0" w:after="0"/>
        <w:ind w:left="0" w:right="0" w:hanging="0"/>
        <w:jc w:val="left"/>
        <w:rPr/>
      </w:pPr>
      <w:r>
        <w:rPr/>
        <w:t> </w:t>
      </w:r>
    </w:p>
    <w:p>
      <w:pPr>
        <w:pStyle w:val="TextBody"/>
        <w:bidi w:val="0"/>
        <w:spacing w:lineRule="auto" w:line="285" w:before="0" w:after="0"/>
        <w:ind w:left="0" w:right="0" w:hanging="0"/>
        <w:jc w:val="center"/>
        <w:rPr>
          <w:rFonts w:ascii="Times New Roman;Times;serif" w:hAnsi="Times New Roman;Times;serif"/>
          <w:b/>
          <w:sz w:val="20"/>
        </w:rPr>
      </w:pPr>
      <w:bookmarkStart w:id="51" w:name="_ee93367c_901d_42e9_a66d_42078561067f"/>
      <w:bookmarkStart w:id="52" w:name="part_1_2_3"/>
      <w:bookmarkEnd w:id="51"/>
      <w:bookmarkEnd w:id="52"/>
      <w:r>
        <w:rPr>
          <w:rFonts w:ascii="Times New Roman;Times;serif" w:hAnsi="Times New Roman;Times;serif"/>
          <w:b/>
          <w:sz w:val="20"/>
        </w:rPr>
        <w:t>SIGNATURE</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firstLine="547"/>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5" w:before="0" w:after="0"/>
        <w:ind w:left="0" w:right="0" w:firstLine="550"/>
        <w:jc w:val="left"/>
        <w:rPr/>
      </w:pPr>
      <w:r>
        <w:rPr/>
        <w:t> </w:t>
      </w:r>
    </w:p>
    <w:tbl>
      <w:tblPr>
        <w:tblW w:w="5493" w:type="dxa"/>
        <w:jc w:val="left"/>
        <w:tblInd w:w="0" w:type="dxa"/>
        <w:tblLayout w:type="fixed"/>
        <w:tblCellMar>
          <w:top w:w="0" w:type="dxa"/>
          <w:left w:w="0" w:type="dxa"/>
          <w:bottom w:w="0" w:type="dxa"/>
          <w:right w:w="0" w:type="dxa"/>
        </w:tblCellMar>
      </w:tblPr>
      <w:tblGrid>
        <w:gridCol w:w="1831"/>
        <w:gridCol w:w="406"/>
        <w:gridCol w:w="3256"/>
      </w:tblGrid>
      <w:tr>
        <w:trPr/>
        <w:tc>
          <w:tcPr>
            <w:tcW w:w="183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256" w:type="dxa"/>
            <w:tcBorders/>
            <w:vAlign w:val="center"/>
          </w:tcPr>
          <w:p>
            <w:pPr>
              <w:pStyle w:val="TableContents"/>
              <w:bidi w:val="0"/>
              <w:spacing w:lineRule="auto" w:line="285" w:before="0" w:after="0"/>
              <w:ind w:left="0" w:right="0" w:hanging="0"/>
              <w:jc w:val="left"/>
              <w:rPr/>
            </w:pPr>
            <w:r>
              <w:rPr/>
              <w:t>​</w:t>
            </w:r>
          </w:p>
        </w:tc>
      </w:tr>
      <w:tr>
        <w:trPr/>
        <w:tc>
          <w:tcPr>
            <w:tcW w:w="1831"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 </w:t>
            </w:r>
          </w:p>
        </w:tc>
        <w:tc>
          <w:tcPr>
            <w:tcW w:w="32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FENNEC PHARMACEUTICALS INC.</w:t>
            </w:r>
          </w:p>
        </w:tc>
      </w:tr>
      <w:tr>
        <w:trPr/>
        <w:tc>
          <w:tcPr>
            <w:tcW w:w="1831"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center"/>
              <w:rPr/>
            </w:pPr>
            <w:r>
              <w:rPr/>
              <w:t> </w:t>
            </w:r>
          </w:p>
        </w:tc>
        <w:tc>
          <w:tcPr>
            <w:tcW w:w="3256" w:type="dxa"/>
            <w:tcBorders/>
            <w:vAlign w:val="center"/>
          </w:tcPr>
          <w:p>
            <w:pPr>
              <w:pStyle w:val="TableContents"/>
              <w:bidi w:val="0"/>
              <w:spacing w:lineRule="auto" w:line="285" w:before="0" w:after="0"/>
              <w:ind w:left="0" w:right="0" w:hanging="0"/>
              <w:jc w:val="left"/>
              <w:rPr/>
            </w:pPr>
            <w:r>
              <w:rPr/>
              <w:t> </w:t>
            </w:r>
          </w:p>
        </w:tc>
      </w:tr>
      <w:tr>
        <w:trPr/>
        <w:tc>
          <w:tcPr>
            <w:tcW w:w="1831"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center"/>
              <w:rPr/>
            </w:pPr>
            <w:r>
              <w:rPr/>
              <w:t> </w:t>
            </w:r>
          </w:p>
        </w:tc>
        <w:tc>
          <w:tcPr>
            <w:tcW w:w="3256" w:type="dxa"/>
            <w:tcBorders/>
            <w:vAlign w:val="center"/>
          </w:tcPr>
          <w:p>
            <w:pPr>
              <w:pStyle w:val="TableContents"/>
              <w:bidi w:val="0"/>
              <w:spacing w:lineRule="auto" w:line="285" w:before="0" w:after="0"/>
              <w:ind w:left="0" w:right="0" w:hanging="0"/>
              <w:jc w:val="left"/>
              <w:rPr/>
            </w:pPr>
            <w:r>
              <w:rPr/>
              <w:t> </w:t>
            </w:r>
          </w:p>
        </w:tc>
      </w:tr>
      <w:tr>
        <w:trPr/>
        <w:tc>
          <w:tcPr>
            <w:tcW w:w="18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March 24, 2026</w:t>
            </w:r>
          </w:p>
        </w:tc>
        <w:tc>
          <w:tcPr>
            <w:tcW w:w="40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By:</w:t>
            </w:r>
          </w:p>
        </w:tc>
        <w:tc>
          <w:tcPr>
            <w:tcW w:w="32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Robert Andrade</w:t>
            </w:r>
          </w:p>
        </w:tc>
      </w:tr>
      <w:tr>
        <w:trPr/>
        <w:tc>
          <w:tcPr>
            <w:tcW w:w="1831" w:type="dxa"/>
            <w:tcBorders/>
            <w:vAlign w:val="center"/>
          </w:tcPr>
          <w:p>
            <w:pPr>
              <w:pStyle w:val="TableContents"/>
              <w:bidi w:val="0"/>
              <w:spacing w:lineRule="auto" w:line="285" w:before="0" w:after="0"/>
              <w:ind w:left="0" w:right="0" w:hanging="0"/>
              <w:jc w:val="left"/>
              <w:rPr/>
            </w:pPr>
            <w:r>
              <w:rPr/>
              <w:t> </w:t>
            </w:r>
          </w:p>
        </w:tc>
        <w:tc>
          <w:tcPr>
            <w:tcW w:w="406" w:type="dxa"/>
            <w:tcBorders/>
            <w:vAlign w:val="center"/>
          </w:tcPr>
          <w:p>
            <w:pPr>
              <w:pStyle w:val="TableContents"/>
              <w:bidi w:val="0"/>
              <w:spacing w:lineRule="auto" w:line="285" w:before="0" w:after="0"/>
              <w:ind w:left="0" w:right="0" w:hanging="0"/>
              <w:jc w:val="left"/>
              <w:rPr/>
            </w:pPr>
            <w:r>
              <w:rPr/>
              <w:t> </w:t>
            </w:r>
          </w:p>
        </w:tc>
        <w:tc>
          <w:tcPr>
            <w:tcW w:w="3256" w:type="dxa"/>
            <w:tcBorders/>
            <w:vAlign w:val="center"/>
          </w:tcPr>
          <w:p>
            <w:pPr>
              <w:pStyle w:val="TableContents"/>
              <w:bidi w:val="0"/>
              <w:spacing w:lineRule="auto" w:line="285" w:before="0" w:after="0"/>
              <w:ind w:left="286" w:right="286" w:hanging="0"/>
              <w:jc w:val="left"/>
              <w:rPr>
                <w:rFonts w:ascii="Times New Roman;Times;serif" w:hAnsi="Times New Roman;Times;serif"/>
                <w:sz w:val="20"/>
              </w:rPr>
            </w:pPr>
            <w:r>
              <w:rPr>
                <w:rFonts w:ascii="Times New Roman;Times;serif" w:hAnsi="Times New Roman;Times;serif"/>
                <w:sz w:val="20"/>
              </w:rPr>
              <w:t>Robert Andrade</w:t>
            </w:r>
          </w:p>
          <w:p>
            <w:pPr>
              <w:pStyle w:val="TableContents"/>
              <w:bidi w:val="0"/>
              <w:spacing w:lineRule="auto" w:line="285" w:before="0" w:after="0"/>
              <w:ind w:left="286" w:right="286"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right"/>
        <w:rPr>
          <w:rFonts w:ascii="Helvetica;sans-serif" w:hAnsi="Helvetica;sans-serif"/>
          <w:b/>
          <w:sz w:val="24"/>
        </w:rPr>
      </w:pPr>
      <w:bookmarkStart w:id="53" w:name="fencf-20260324xex99d1.htm"/>
      <w:bookmarkStart w:id="54" w:name="ksfencf20260324xex99d1"/>
      <w:bookmarkEnd w:id="53"/>
      <w:bookmarkEnd w:id="54"/>
      <w:r>
        <w:rPr>
          <w:rFonts w:ascii="Helvetica;sans-serif" w:hAnsi="Helvetica;sans-serif"/>
          <w:b/>
          <w:sz w:val="24"/>
        </w:rPr>
        <w:t>Exhibit 99.1</w:t>
      </w:r>
      <w:r>
        <w:br w:type="page"/>
      </w:r>
    </w:p>
    <w:p>
      <w:pPr>
        <w:pStyle w:val="TextBody"/>
        <w:bidi w:val="0"/>
        <w:spacing w:lineRule="auto" w:line="285" w:before="0" w:after="0"/>
        <w:ind w:left="0" w:right="0" w:hanging="0"/>
        <w:jc w:val="center"/>
        <w:rPr/>
      </w:pPr>
      <w:r>
        <w:rPr/>
        <w:drawing>
          <wp:inline distT="0" distB="0" distL="0" distR="0">
            <wp:extent cx="1247775" cy="70485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247775" cy="704850"/>
                    </a:xfrm>
                    <a:prstGeom prst="rect">
                      <a:avLst/>
                    </a:prstGeom>
                  </pic:spPr>
                </pic:pic>
              </a:graphicData>
            </a:graphic>
          </wp:inline>
        </w:drawing>
      </w:r>
      <w:r>
        <w:rPr/>
        <w:t xml:space="preserve">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Helvetica;sans-serif" w:hAnsi="Helvetica;sans-serif"/>
          <w:b/>
          <w:sz w:val="28"/>
        </w:rPr>
        <w:t xml:space="preserve">FENNEC PHARMACEUTICALS REPORTS FOURTH </w:t>
      </w:r>
      <w:r>
        <w:rPr>
          <w:rFonts w:ascii="Helvetica;sans-serif" w:hAnsi="Helvetica;sans-serif"/>
          <w:b/>
          <w:caps/>
          <w:sz w:val="28"/>
        </w:rPr>
        <w:t>Quarter AND FULL YEAR 2025 FINANCIAL RESULTS and provides business update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Helvetica;sans-serif" w:hAnsi="Helvetica;sans-serif"/>
          <w:i/>
          <w:sz w:val="24"/>
        </w:rPr>
        <w:t>~ Delivered Record Annual Revenue with Full-Year Net PEDMARK</w:t>
      </w:r>
      <w:r>
        <w:rPr>
          <w:rFonts w:ascii="Helvetica;sans-serif" w:hAnsi="Helvetica;sans-serif"/>
          <w:i/>
          <w:sz w:val="18"/>
        </w:rPr>
        <w:t>®</w:t>
      </w:r>
      <w:r>
        <w:rPr>
          <w:rFonts w:ascii="Times New Roman;Times;serif" w:hAnsi="Times New Roman;Times;serif"/>
          <w:sz w:val="20"/>
        </w:rPr>
        <w:t> </w:t>
      </w:r>
      <w:r>
        <w:rPr>
          <w:rFonts w:ascii="Helvetica;sans-serif" w:hAnsi="Helvetica;sans-serif"/>
          <w:i/>
          <w:sz w:val="24"/>
        </w:rPr>
        <w:t xml:space="preserve">Product Sales of $44.6 Million, Representing 50% Year-Over-Year Growth, and Q4 2025 Net Product Sales of $13.8 Million, Representing 75% Growth Over Q4 2024 Net Product Sales ~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Helvetica;sans-serif" w:hAnsi="Helvetica;sans-serif"/>
          <w:i/>
          <w:sz w:val="24"/>
        </w:rPr>
        <w:t>~ Executed on 2025 Clinical Data Strategy to Expand Real-World Validation of PEDMARK</w:t>
      </w:r>
      <w:r>
        <w:rPr>
          <w:rFonts w:ascii="Helvetica;sans-serif" w:hAnsi="Helvetica;sans-serif"/>
          <w:i/>
          <w:sz w:val="18"/>
        </w:rPr>
        <w:t>®</w:t>
      </w:r>
      <w:r>
        <w:rPr>
          <w:rFonts w:ascii="Times New Roman;Times;serif" w:hAnsi="Times New Roman;Times;serif"/>
          <w:sz w:val="20"/>
        </w:rPr>
        <w:t xml:space="preserve"> </w:t>
      </w:r>
      <w:r>
        <w:rPr>
          <w:rFonts w:ascii="Helvetica;sans-serif" w:hAnsi="Helvetica;sans-serif"/>
          <w:i/>
          <w:sz w:val="24"/>
        </w:rPr>
        <w:t>Across New Tumor Types and Patient Populations Through Independent, Institution-Led Research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Helvetica;sans-serif" w:hAnsi="Helvetica;sans-serif"/>
          <w:i/>
          <w:sz w:val="24"/>
        </w:rPr>
      </w:pPr>
      <w:r>
        <w:rPr>
          <w:rFonts w:ascii="Helvetica;sans-serif" w:hAnsi="Helvetica;sans-serif"/>
          <w:i/>
          <w:sz w:val="24"/>
        </w:rPr>
        <w:t>~ Achieved Record Performance with All-Time High Patient Enrollments and Conversion Rates in Q4 2025, Reflecting Strong Field Execution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Helvetica;sans-serif" w:hAnsi="Helvetica;sans-serif"/>
          <w:i/>
          <w:sz w:val="24"/>
        </w:rPr>
      </w:pPr>
      <w:r>
        <w:rPr>
          <w:rFonts w:ascii="Helvetica;sans-serif" w:hAnsi="Helvetica;sans-serif"/>
          <w:i/>
          <w:sz w:val="24"/>
        </w:rPr>
        <w:t xml:space="preserve">~ Completed Oversubscribed $42 Million Equity Offerings with Participation from New and Existing Investors ~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Helvetica;sans-serif" w:hAnsi="Helvetica;sans-serif"/>
          <w:i/>
          <w:sz w:val="24"/>
        </w:rPr>
        <w:t>~ Announced Positive Topline Results from Investigator-Initiated Clinical Study of PEDMARK</w:t>
      </w:r>
      <w:r>
        <w:rPr>
          <w:rFonts w:ascii="Helvetica;sans-serif" w:hAnsi="Helvetica;sans-serif"/>
          <w:i/>
          <w:sz w:val="18"/>
        </w:rPr>
        <w:t>®</w:t>
      </w:r>
      <w:r>
        <w:rPr>
          <w:rFonts w:ascii="Times New Roman;Times;serif" w:hAnsi="Times New Roman;Times;serif"/>
          <w:sz w:val="20"/>
        </w:rPr>
        <w:t xml:space="preserve"> </w:t>
      </w:r>
      <w:r>
        <w:rPr>
          <w:rFonts w:ascii="Helvetica;sans-serif" w:hAnsi="Helvetica;sans-serif"/>
          <w:i/>
          <w:sz w:val="24"/>
        </w:rPr>
        <w:t xml:space="preserve">in Japan to Reduce Cisplatin-Induced Hearing Loss ~ </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Helvetica;sans-serif" w:hAnsi="Helvetica;sans-serif"/>
          <w:i/>
          <w:sz w:val="24"/>
        </w:rPr>
      </w:pPr>
      <w:r>
        <w:rPr>
          <w:rFonts w:ascii="Helvetica;sans-serif" w:hAnsi="Helvetica;sans-serif"/>
          <w:i/>
          <w:sz w:val="24"/>
        </w:rPr>
        <w:t>~ Management to Host Conference Call Today at 8:30 a.m. ET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Helvetica;sans-serif" w:hAnsi="Helvetica;sans-serif"/>
          <w:b/>
          <w:sz w:val="24"/>
        </w:rPr>
        <w:t>Research Triangle Park, NC, March 24, 2026 </w:t>
      </w:r>
      <w:r>
        <w:rPr>
          <w:rFonts w:ascii="Times New Roman;Times;serif" w:hAnsi="Times New Roman;Times;serif"/>
          <w:sz w:val="20"/>
        </w:rPr>
        <w:t>– </w:t>
      </w:r>
      <w:r>
        <w:rPr>
          <w:rFonts w:ascii="Helvetica;sans-serif" w:hAnsi="Helvetica;sans-serif"/>
          <w:sz w:val="24"/>
        </w:rPr>
        <w:t>Fennec Pharmaceuticals Inc. (NASDAQ:FENC; TSX: FRX), a specialty pharmaceutical company, today reported its financial results for the fiscal year ended December 31, 2025 and provided a business update.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pPr>
      <w:r>
        <w:rPr/>
        <w:t>“</w:t>
      </w:r>
      <w:r>
        <w:rPr>
          <w:rFonts w:ascii="Helvetica;sans-serif" w:hAnsi="Helvetica;sans-serif"/>
          <w:sz w:val="24"/>
        </w:rPr>
        <w:t>Our 2025 results validate that our strategy is clear and the foundation we built over the past year is now propelling Fennec into its next chapter of growth. We delivered record net product sales, achieved significant growth within our Fennec HEARS</w:t>
      </w:r>
      <w:r>
        <w:rPr>
          <w:rFonts w:ascii="Helvetica;sans-serif" w:hAnsi="Helvetica;sans-serif"/>
          <w:i/>
          <w:sz w:val="18"/>
        </w:rPr>
        <w:t>®</w:t>
      </w:r>
      <w:r>
        <w:rPr>
          <w:rFonts w:ascii="Times New Roman;Times;serif" w:hAnsi="Times New Roman;Times;serif"/>
          <w:sz w:val="20"/>
        </w:rPr>
        <w:t xml:space="preserve"> </w:t>
      </w:r>
      <w:r>
        <w:rPr>
          <w:rFonts w:ascii="Helvetica;sans-serif" w:hAnsi="Helvetica;sans-serif"/>
          <w:sz w:val="24"/>
        </w:rPr>
        <w:t>program, and advanced independent clinical evidence generation for PEDMARK</w:t>
      </w:r>
      <w:r>
        <w:rPr>
          <w:rFonts w:ascii="Helvetica;sans-serif" w:hAnsi="Helvetica;sans-serif"/>
          <w:sz w:val="18"/>
        </w:rPr>
        <w:t>®</w:t>
      </w:r>
      <w:r>
        <w:rPr>
          <w:rFonts w:ascii="Times New Roman;Times;serif" w:hAnsi="Times New Roman;Times;serif"/>
          <w:sz w:val="20"/>
        </w:rPr>
        <w:t xml:space="preserve"> – </w:t>
      </w:r>
      <w:r>
        <w:rPr>
          <w:rFonts w:ascii="Helvetica;sans-serif" w:hAnsi="Helvetica;sans-serif"/>
          <w:sz w:val="24"/>
        </w:rPr>
        <w:t>all while driving quarter-over-quarter growth in every quarter in 2025. These results demonstrate increasing PEDMARK</w:t>
      </w:r>
      <w:r>
        <w:rPr>
          <w:rFonts w:ascii="Helvetica;sans-serif" w:hAnsi="Helvetica;sans-serif"/>
          <w:sz w:val="18"/>
        </w:rPr>
        <w:t>®</w:t>
      </w:r>
      <w:r>
        <w:rPr>
          <w:rFonts w:ascii="Times New Roman;Times;serif" w:hAnsi="Times New Roman;Times;serif"/>
          <w:sz w:val="20"/>
        </w:rPr>
        <w:t xml:space="preserve"> </w:t>
      </w:r>
      <w:r>
        <w:rPr>
          <w:rFonts w:ascii="Helvetica;sans-serif" w:hAnsi="Helvetica;sans-serif"/>
          <w:sz w:val="24"/>
        </w:rPr>
        <w:t>adoption across key accounts and patient segments, effective field execution, and sustained progress across the organization,</w:t>
      </w:r>
      <w:r>
        <w:rPr>
          <w:rFonts w:ascii="Times New Roman;Times;serif" w:hAnsi="Times New Roman;Times;serif"/>
          <w:sz w:val="20"/>
        </w:rPr>
        <w:t xml:space="preserve">” </w:t>
      </w:r>
      <w:r>
        <w:rPr>
          <w:rFonts w:ascii="Helvetica;sans-serif" w:hAnsi="Helvetica;sans-serif"/>
          <w:sz w:val="24"/>
        </w:rPr>
        <w:t>said Jeff Hackman, chief executive officer of Fennec Pharmaceuticals. “Concurrently, we strengthened our financial position through prudent operating decisions and strategic financial initiatives, including the closing of public and private offerings and the completion of full debt redemption.”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Helvetica;sans-serif" w:hAnsi="Helvetica;sans-serif"/>
          <w:b/>
          <w:sz w:val="24"/>
        </w:rPr>
      </w:pPr>
      <w:r>
        <w:rPr>
          <w:rFonts w:ascii="Helvetica;sans-serif" w:hAnsi="Helvetica;sans-serif"/>
          <w:b/>
          <w:sz w:val="24"/>
        </w:rPr>
        <w:t xml:space="preserve">Business Highlights: </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i w:val="false"/>
                <w:caps w:val="false"/>
                <w:smallCaps w:val="false"/>
                <w:sz w:val="24"/>
              </w:rPr>
              <w:t>Continued Growth Within Key PEDMARK</w:t>
            </w:r>
            <w:r>
              <w:rPr>
                <w:rFonts w:ascii="Helvetica;sans-serif" w:hAnsi="Helvetica;sans-serif"/>
                <w:b/>
                <w:i w:val="false"/>
                <w:caps w:val="false"/>
                <w:smallCaps w:val="false"/>
                <w:sz w:val="18"/>
              </w:rPr>
              <w:t>®</w:t>
            </w:r>
            <w:r>
              <w:rPr>
                <w:caps w:val="false"/>
                <w:smallCaps w:val="false"/>
              </w:rPr>
              <w:t> </w:t>
            </w:r>
            <w:r>
              <w:rPr>
                <w:rFonts w:ascii="Helvetica;sans-serif" w:hAnsi="Helvetica;sans-serif"/>
                <w:b/>
                <w:i w:val="false"/>
                <w:caps w:val="false"/>
                <w:smallCaps w:val="false"/>
                <w:sz w:val="24"/>
              </w:rPr>
              <w:t>Accounts</w:t>
            </w:r>
            <w:r>
              <w:rPr>
                <w:rFonts w:ascii="Helvetica;sans-serif" w:hAnsi="Helvetica;sans-serif"/>
                <w:b w:val="false"/>
                <w:i w:val="false"/>
                <w:caps w:val="false"/>
                <w:smallCaps w:val="false"/>
                <w:sz w:val="24"/>
              </w:rPr>
              <w:t>: Adoption continues to accelerate across new and existing accounts, including multiple Adolescent and Young Adult (AYA) patients across several tumor types receiving PEDMARK</w:t>
            </w:r>
            <w:r>
              <w:rPr>
                <w:rFonts w:ascii="Helvetica;sans-serif" w:hAnsi="Helvetica;sans-serif"/>
                <w:b w:val="false"/>
                <w:i w:val="false"/>
                <w:caps w:val="false"/>
                <w:smallCaps w:val="false"/>
                <w:sz w:val="18"/>
              </w:rPr>
              <w:t>®</w:t>
            </w:r>
            <w:r>
              <w:rPr>
                <w:rFonts w:ascii="Helvetica;sans-serif" w:hAnsi="Helvetica;sans-serif"/>
                <w:b w:val="false"/>
                <w:i w:val="false"/>
                <w:caps w:val="false"/>
                <w:smallCaps w:val="false"/>
                <w:sz w:val="24"/>
              </w:rPr>
              <w:t>. Strong adoption trends reflect growing confidence in PEDMARK</w:t>
            </w:r>
            <w:r>
              <w:rPr>
                <w:rFonts w:ascii="Helvetica;sans-serif" w:hAnsi="Helvetica;sans-serif"/>
                <w:b w:val="false"/>
                <w:i w:val="false"/>
                <w:caps w:val="false"/>
                <w:smallCaps w:val="false"/>
                <w:sz w:val="18"/>
              </w:rPr>
              <w:t>®</w:t>
            </w:r>
            <w:r>
              <w:rPr>
                <w:caps w:val="false"/>
                <w:smallCaps w:val="false"/>
              </w:rPr>
              <w:t>’</w:t>
            </w:r>
            <w:r>
              <w:rPr>
                <w:rFonts w:ascii="Helvetica;sans-serif" w:hAnsi="Helvetica;sans-serif"/>
                <w:b w:val="false"/>
                <w:i w:val="false"/>
                <w:caps w:val="false"/>
                <w:smallCaps w:val="false"/>
                <w:sz w:val="24"/>
              </w:rPr>
              <w:t>s clinical value and reinforce its potential to help reshape the standard of care for patients receiving cisplatin-based treatment, demonstrating that the Company’s growth strategies are well aligned with market opportunities.</w:t>
            </w:r>
          </w:p>
        </w:tc>
      </w:tr>
    </w:tbl>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i w:val="false"/>
                <w:caps w:val="false"/>
                <w:smallCaps w:val="false"/>
                <w:sz w:val="24"/>
              </w:rPr>
              <w:t>Expanded Field Team to Accelerate Growth</w:t>
            </w:r>
            <w:r>
              <w:rPr>
                <w:rFonts w:ascii="Helvetica;sans-serif" w:hAnsi="Helvetica;sans-serif"/>
                <w:b w:val="false"/>
                <w:i w:val="false"/>
                <w:caps w:val="false"/>
                <w:smallCaps w:val="false"/>
                <w:sz w:val="24"/>
              </w:rPr>
              <w:t xml:space="preserve">: In the fourth quarter, given the positive momentum Fennec observed over 2025, the Company made the strategic decision to further enhance its execution by increasing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10182"/>
      </w:tblGrid>
      <w:tr>
        <w:trPr/>
        <w:tc>
          <w:tcPr>
            <w:tcW w:w="23" w:type="dxa"/>
            <w:tcBorders/>
            <w:vAlign w:val="center"/>
          </w:tcPr>
          <w:p>
            <w:pPr>
              <w:pStyle w:val="TableContents"/>
              <w:bidi w:val="0"/>
              <w:spacing w:before="0" w:after="283"/>
              <w:jc w:val="left"/>
              <w:rPr>
                <w:sz w:val="4"/>
                <w:szCs w:val="4"/>
              </w:rPr>
            </w:pPr>
            <w:r>
              <w:rPr>
                <w:sz w:val="4"/>
                <w:szCs w:val="4"/>
              </w:rPr>
            </w:r>
          </w:p>
        </w:tc>
        <w:tc>
          <w:tcPr>
            <w:tcW w:w="10182"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 xml:space="preserve">its customer facing team to achieve greater reach and frequency with its customers so the organization can ultimately help more cancer patients protect their hearing. </w:t>
            </w:r>
          </w:p>
        </w:tc>
      </w:tr>
    </w:tbl>
    <w:p>
      <w:pPr>
        <w:pStyle w:val="TextBody"/>
        <w:bidi w:val="0"/>
        <w:spacing w:lineRule="auto" w:line="307" w:before="0" w:after="16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i w:val="false"/>
                <w:caps w:val="false"/>
                <w:smallCaps w:val="false"/>
                <w:sz w:val="24"/>
              </w:rPr>
              <w:t>New Real-World Data in Adults with Head and Neck Cancer (HNC):</w:t>
            </w:r>
            <w:r>
              <w:rPr>
                <w:caps w:val="false"/>
                <w:smallCaps w:val="false"/>
              </w:rPr>
              <w:t xml:space="preserve"> </w:t>
            </w:r>
            <w:r>
              <w:rPr>
                <w:rFonts w:ascii="Helvetica;sans-serif" w:hAnsi="Helvetica;sans-serif"/>
                <w:b w:val="false"/>
                <w:i w:val="false"/>
                <w:caps w:val="false"/>
                <w:smallCaps w:val="false"/>
                <w:sz w:val="24"/>
              </w:rPr>
              <w:t xml:space="preserve">In February 2026, Fennec announced it presented the first new data since the pivotal clinical program at the </w:t>
            </w:r>
            <w:r>
              <w:rPr>
                <w:rFonts w:ascii="Helvetica;sans-serif" w:hAnsi="Helvetica;sans-serif"/>
                <w:b w:val="false"/>
                <w:i w:val="false"/>
                <w:caps w:val="false"/>
                <w:smallCaps w:val="false"/>
                <w:color w:val="4472C4"/>
                <w:sz w:val="24"/>
              </w:rPr>
              <w:t>2026 Multidisciplinary Head and Neck Cancers Symposium</w:t>
            </w:r>
            <w:r>
              <w:rPr>
                <w:caps w:val="false"/>
                <w:smallCaps w:val="false"/>
              </w:rPr>
              <w:t xml:space="preserve"> </w:t>
            </w:r>
            <w:r>
              <w:rPr>
                <w:rFonts w:ascii="Helvetica;sans-serif" w:hAnsi="Helvetica;sans-serif"/>
                <w:b w:val="false"/>
                <w:i w:val="false"/>
                <w:caps w:val="false"/>
                <w:smallCaps w:val="false"/>
                <w:sz w:val="24"/>
              </w:rPr>
              <w:t>(MHNCS). Findings supporting the potential use of PEDMARK</w:t>
            </w:r>
            <w:r>
              <w:rPr>
                <w:rFonts w:ascii="Helvetica;sans-serif" w:hAnsi="Helvetica;sans-serif"/>
                <w:b w:val="false"/>
                <w:i w:val="false"/>
                <w:caps w:val="false"/>
                <w:smallCaps w:val="false"/>
                <w:sz w:val="18"/>
              </w:rPr>
              <w:t>®</w:t>
            </w:r>
            <w:r>
              <w:rPr>
                <w:caps w:val="false"/>
                <w:smallCaps w:val="false"/>
              </w:rPr>
              <w:t xml:space="preserve"> </w:t>
            </w:r>
            <w:r>
              <w:rPr>
                <w:rFonts w:ascii="Helvetica;sans-serif" w:hAnsi="Helvetica;sans-serif"/>
                <w:b w:val="false"/>
                <w:i w:val="false"/>
                <w:caps w:val="false"/>
                <w:smallCaps w:val="false"/>
                <w:sz w:val="24"/>
              </w:rPr>
              <w:t>in adults with head and neck cancers (HNC) were observed in a multi-institutional retrospective review of 15 adults with HNC. The data showed that PEDMARK</w:t>
            </w:r>
            <w:r>
              <w:rPr>
                <w:rFonts w:ascii="Helvetica;sans-serif" w:hAnsi="Helvetica;sans-serif"/>
                <w:b w:val="false"/>
                <w:i w:val="false"/>
                <w:caps w:val="false"/>
                <w:smallCaps w:val="false"/>
                <w:sz w:val="18"/>
              </w:rPr>
              <w:t>®</w:t>
            </w:r>
            <w:r>
              <w:rPr>
                <w:caps w:val="false"/>
                <w:smallCaps w:val="false"/>
              </w:rPr>
              <w:t xml:space="preserve"> </w:t>
            </w:r>
            <w:r>
              <w:rPr>
                <w:rFonts w:ascii="Helvetica;sans-serif" w:hAnsi="Helvetica;sans-serif"/>
                <w:b w:val="false"/>
                <w:i w:val="false"/>
                <w:caps w:val="false"/>
                <w:smallCaps w:val="false"/>
                <w:sz w:val="24"/>
              </w:rPr>
              <w:t>could be safely given ≥ six hours after cisplatin dosing and was easy to incorporate into the real-world care plan for adults with HNC. This strict post-cisplatin timing is a validated approach intended to preserve cisplatin antitumor activity and no disruption to curative-intent cisplatin-based treatment delivery was observed as part of the study review.</w:t>
            </w:r>
          </w:p>
        </w:tc>
      </w:tr>
    </w:tbl>
    <w:p>
      <w:pPr>
        <w:pStyle w:val="TextBody"/>
        <w:bidi w:val="0"/>
        <w:spacing w:lineRule="auto" w:line="307" w:before="0" w:after="16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i w:val="false"/>
                <w:caps w:val="false"/>
                <w:smallCaps w:val="false"/>
                <w:sz w:val="24"/>
              </w:rPr>
              <w:t>Initiation of Two Institution-Led Clinical Studies</w:t>
            </w:r>
            <w:r>
              <w:rPr>
                <w:rFonts w:ascii="Helvetica;sans-serif" w:hAnsi="Helvetica;sans-serif"/>
                <w:b w:val="false"/>
                <w:i w:val="false"/>
                <w:caps w:val="false"/>
                <w:smallCaps w:val="false"/>
                <w:sz w:val="24"/>
              </w:rPr>
              <w:t xml:space="preserve">: In December 2025, Fennec announced that </w:t>
            </w:r>
            <w:r>
              <w:rPr>
                <w:rFonts w:ascii="Helvetica;sans-serif" w:hAnsi="Helvetica;sans-serif"/>
                <w:b w:val="false"/>
                <w:i w:val="false"/>
                <w:caps w:val="false"/>
                <w:smallCaps w:val="false"/>
                <w:color w:val="4472C4"/>
                <w:sz w:val="24"/>
              </w:rPr>
              <w:t>City of Hope</w:t>
            </w:r>
            <w:r>
              <w:rPr>
                <w:rFonts w:ascii="Helvetica;sans-serif" w:hAnsi="Helvetica;sans-serif"/>
                <w:b w:val="false"/>
                <w:i w:val="false"/>
                <w:caps w:val="false"/>
                <w:smallCaps w:val="false"/>
                <w:sz w:val="24"/>
              </w:rPr>
              <w:t>, a U.S. cancer research and treatment organization, is evaluating PEDMARK</w:t>
            </w:r>
            <w:r>
              <w:rPr>
                <w:rFonts w:ascii="Helvetica;sans-serif" w:hAnsi="Helvetica;sans-serif"/>
                <w:b w:val="false"/>
                <w:i w:val="false"/>
                <w:caps w:val="false"/>
                <w:smallCaps w:val="false"/>
                <w:sz w:val="18"/>
              </w:rPr>
              <w:t>®</w:t>
            </w:r>
            <w:r>
              <w:rPr>
                <w:caps w:val="false"/>
                <w:smallCaps w:val="false"/>
              </w:rPr>
              <w:t> </w:t>
            </w:r>
            <w:r>
              <w:rPr>
                <w:rFonts w:ascii="Helvetica;sans-serif" w:hAnsi="Helvetica;sans-serif"/>
                <w:b w:val="false"/>
                <w:i w:val="false"/>
                <w:caps w:val="false"/>
                <w:smallCaps w:val="false"/>
                <w:sz w:val="24"/>
              </w:rPr>
              <w:t xml:space="preserve">for the prevention of cisplatin-induced ototoxicity (CIO) in adult men with stage II-III metastatic testicular germ cell tumors. In March 2026, Fennec announced that </w:t>
            </w:r>
            <w:r>
              <w:rPr>
                <w:rFonts w:ascii="Helvetica;sans-serif" w:hAnsi="Helvetica;sans-serif"/>
                <w:b w:val="false"/>
                <w:i w:val="false"/>
                <w:caps w:val="false"/>
                <w:smallCaps w:val="false"/>
                <w:color w:val="4472C4"/>
                <w:sz w:val="24"/>
              </w:rPr>
              <w:t>Tampa General Hospital (TGH) Cancer Institute </w:t>
            </w:r>
            <w:r>
              <w:rPr>
                <w:rFonts w:ascii="Helvetica;sans-serif" w:hAnsi="Helvetica;sans-serif"/>
                <w:b w:val="false"/>
                <w:i w:val="false"/>
                <w:caps w:val="false"/>
                <w:smallCaps w:val="false"/>
                <w:sz w:val="24"/>
              </w:rPr>
              <w:t>is initiating a study evaluating the real-world clinical utility of PEDMARK</w:t>
            </w:r>
            <w:r>
              <w:rPr>
                <w:rFonts w:ascii="Helvetica;sans-serif" w:hAnsi="Helvetica;sans-serif"/>
                <w:b w:val="false"/>
                <w:i w:val="false"/>
                <w:caps w:val="false"/>
                <w:smallCaps w:val="false"/>
                <w:sz w:val="18"/>
              </w:rPr>
              <w:t>®</w:t>
            </w:r>
            <w:r>
              <w:rPr>
                <w:caps w:val="false"/>
                <w:smallCaps w:val="false"/>
              </w:rPr>
              <w:t xml:space="preserve"> </w:t>
            </w:r>
            <w:r>
              <w:rPr>
                <w:rFonts w:ascii="Helvetica;sans-serif" w:hAnsi="Helvetica;sans-serif"/>
                <w:b w:val="false"/>
                <w:i w:val="false"/>
                <w:caps w:val="false"/>
                <w:smallCaps w:val="false"/>
                <w:sz w:val="24"/>
              </w:rPr>
              <w:t>in reducing the risk of ototoxicity in AYA and adult cancer patients receiving cisplatin-based treatment. Additional investigator-initiated studies supporting the use of PEDMARK</w:t>
            </w:r>
            <w:r>
              <w:rPr>
                <w:rFonts w:ascii="Helvetica;sans-serif" w:hAnsi="Helvetica;sans-serif"/>
                <w:b w:val="false"/>
                <w:i w:val="false"/>
                <w:caps w:val="false"/>
                <w:smallCaps w:val="false"/>
                <w:sz w:val="18"/>
              </w:rPr>
              <w:t>®</w:t>
            </w:r>
            <w:r>
              <w:rPr>
                <w:caps w:val="false"/>
                <w:smallCaps w:val="false"/>
              </w:rPr>
              <w:t xml:space="preserve"> </w:t>
            </w:r>
            <w:r>
              <w:rPr>
                <w:rFonts w:ascii="Helvetica;sans-serif" w:hAnsi="Helvetica;sans-serif"/>
                <w:b w:val="false"/>
                <w:i w:val="false"/>
                <w:caps w:val="false"/>
                <w:smallCaps w:val="false"/>
                <w:sz w:val="24"/>
              </w:rPr>
              <w:t>in additional tumor types and patient populations, including AYA cancer, have been submitted to Fennec and are currently under review.</w:t>
            </w:r>
          </w:p>
        </w:tc>
      </w:tr>
    </w:tbl>
    <w:p>
      <w:pPr>
        <w:pStyle w:val="TextBody"/>
        <w:bidi w:val="0"/>
        <w:spacing w:lineRule="auto" w:line="285" w:before="0" w:after="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i w:val="false"/>
                <w:caps w:val="false"/>
                <w:smallCaps w:val="false"/>
                <w:sz w:val="24"/>
              </w:rPr>
              <w:t>STS-J01 in Japan:</w:t>
            </w:r>
            <w:r>
              <w:rPr>
                <w:caps w:val="false"/>
                <w:smallCaps w:val="false"/>
              </w:rPr>
              <w:t xml:space="preserve"> </w:t>
            </w:r>
            <w:r>
              <w:rPr>
                <w:rFonts w:ascii="Helvetica;sans-serif" w:hAnsi="Helvetica;sans-serif"/>
                <w:b w:val="false"/>
                <w:i w:val="false"/>
                <w:caps w:val="false"/>
                <w:smallCaps w:val="false"/>
                <w:sz w:val="24"/>
              </w:rPr>
              <w:t xml:space="preserve">In December, Fennec announced positive topline results from the investigator-initiated </w:t>
            </w:r>
            <w:r>
              <w:rPr>
                <w:rFonts w:ascii="Helvetica;sans-serif" w:hAnsi="Helvetica;sans-serif"/>
                <w:b w:val="false"/>
                <w:i w:val="false"/>
                <w:caps w:val="false"/>
                <w:smallCaps w:val="false"/>
                <w:color w:val="4472C4"/>
                <w:sz w:val="24"/>
              </w:rPr>
              <w:t>Phase 2/3 STS-J01</w:t>
            </w:r>
            <w:r>
              <w:rPr>
                <w:caps w:val="false"/>
                <w:smallCaps w:val="false"/>
              </w:rPr>
              <w:t xml:space="preserve"> </w:t>
            </w:r>
            <w:r>
              <w:rPr>
                <w:rFonts w:ascii="Helvetica;sans-serif" w:hAnsi="Helvetica;sans-serif"/>
                <w:b w:val="false"/>
                <w:i w:val="false"/>
                <w:caps w:val="false"/>
                <w:smallCaps w:val="false"/>
                <w:sz w:val="24"/>
              </w:rPr>
              <w:t>clinical trial evaluating PEDMARK</w:t>
            </w:r>
            <w:r>
              <w:rPr>
                <w:rFonts w:ascii="Helvetica;sans-serif" w:hAnsi="Helvetica;sans-serif"/>
                <w:b w:val="false"/>
                <w:i w:val="false"/>
                <w:caps w:val="false"/>
                <w:smallCaps w:val="false"/>
                <w:sz w:val="18"/>
              </w:rPr>
              <w:t>®</w:t>
            </w:r>
            <w:r>
              <w:rPr>
                <w:caps w:val="false"/>
                <w:smallCaps w:val="false"/>
              </w:rPr>
              <w:t> </w:t>
            </w:r>
            <w:r>
              <w:rPr>
                <w:rFonts w:ascii="Helvetica;sans-serif" w:hAnsi="Helvetica;sans-serif"/>
                <w:b w:val="false"/>
                <w:i w:val="false"/>
                <w:caps w:val="false"/>
                <w:smallCaps w:val="false"/>
                <w:sz w:val="24"/>
              </w:rPr>
              <w:t>for the reduction of cisplatin-induced ototoxicity in pediatric and adolescent and young adult (AYA) patients with non-metastatic solid tumors in Japan. The results were from the first large-scale pediatric and adolescent and young adults (AYA) trial in Japan and demonstrated that PEDMARK</w:t>
            </w:r>
            <w:r>
              <w:rPr>
                <w:rFonts w:ascii="Helvetica;sans-serif" w:hAnsi="Helvetica;sans-serif"/>
                <w:b w:val="false"/>
                <w:i w:val="false"/>
                <w:caps w:val="false"/>
                <w:smallCaps w:val="false"/>
                <w:sz w:val="18"/>
              </w:rPr>
              <w:t>®</w:t>
            </w:r>
            <w:r>
              <w:rPr>
                <w:caps w:val="false"/>
                <w:smallCaps w:val="false"/>
              </w:rPr>
              <w:t> </w:t>
            </w:r>
            <w:r>
              <w:rPr>
                <w:rFonts w:ascii="Helvetica;sans-serif" w:hAnsi="Helvetica;sans-serif"/>
                <w:b w:val="false"/>
                <w:i w:val="false"/>
                <w:caps w:val="false"/>
                <w:smallCaps w:val="false"/>
                <w:sz w:val="24"/>
              </w:rPr>
              <w:t>can protect hearing without compromising cisplatin’s efficacy or introducing any concerning side effects. The Company is pursuing registration in Japan and is also exploring partnering or licensing opportunities for PEDMARK</w:t>
            </w:r>
            <w:r>
              <w:rPr>
                <w:rFonts w:ascii="Helvetica;sans-serif" w:hAnsi="Helvetica;sans-serif"/>
                <w:b w:val="false"/>
                <w:i w:val="false"/>
                <w:caps w:val="false"/>
                <w:smallCaps w:val="false"/>
                <w:sz w:val="18"/>
              </w:rPr>
              <w:t>®</w:t>
            </w:r>
            <w:r>
              <w:rPr>
                <w:rFonts w:ascii="Helvetica;sans-serif" w:hAnsi="Helvetica;sans-serif"/>
                <w:b w:val="false"/>
                <w:i w:val="false"/>
                <w:caps w:val="false"/>
                <w:smallCaps w:val="false"/>
                <w:sz w:val="24"/>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Helvetica;sans-serif" w:hAnsi="Helvetica;sans-serif"/>
          <w:b/>
          <w:sz w:val="24"/>
        </w:rPr>
      </w:pPr>
      <w:r>
        <w:rPr>
          <w:rFonts w:ascii="Helvetica;sans-serif" w:hAnsi="Helvetica;sans-serif"/>
          <w:b/>
          <w:sz w:val="24"/>
        </w:rPr>
        <w:t>Upcoming Events:</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rFonts w:ascii="Helvetica;sans-serif" w:hAnsi="Helvetica;sans-serif"/>
                <w:b/>
                <w:i w:val="false"/>
                <w:caps w:val="false"/>
                <w:smallCaps w:val="false"/>
                <w:sz w:val="24"/>
              </w:rPr>
              <w:t xml:space="preserve">Piper Sandler Spring Biopharma Symposium: </w:t>
            </w:r>
            <w:r>
              <w:rPr>
                <w:rFonts w:ascii="Helvetica;sans-serif" w:hAnsi="Helvetica;sans-serif"/>
                <w:b w:val="false"/>
                <w:i w:val="false"/>
                <w:caps w:val="false"/>
                <w:smallCaps w:val="false"/>
                <w:sz w:val="24"/>
              </w:rPr>
              <w:t>The management team will host one-on-one investor meetings at the annual Piper Sandler Spring Biopharma Symposium being held April 15–April 16, 2026 at the Convene One Boston Place.</w:t>
            </w:r>
          </w:p>
        </w:tc>
      </w:tr>
    </w:tbl>
    <w:p>
      <w:pPr>
        <w:pStyle w:val="TextBody"/>
        <w:bidi w:val="0"/>
        <w:spacing w:lineRule="auto" w:line="307" w:before="0" w:after="160"/>
        <w:ind w:left="360" w:right="0" w:hanging="0"/>
        <w:jc w:val="left"/>
        <w:rPr/>
      </w:pPr>
      <w:r>
        <w:rPr/>
        <w:t>​</w:t>
      </w:r>
    </w:p>
    <w:p>
      <w:pPr>
        <w:pStyle w:val="TextBody"/>
        <w:bidi w:val="0"/>
        <w:spacing w:lineRule="auto" w:line="285" w:before="0" w:after="0"/>
        <w:ind w:left="0" w:right="0" w:hanging="0"/>
        <w:jc w:val="left"/>
        <w:rPr>
          <w:rFonts w:ascii="Helvetica;sans-serif" w:hAnsi="Helvetica;sans-serif"/>
          <w:b/>
          <w:sz w:val="24"/>
          <w:shd w:fill="FFFFFF" w:val="clear"/>
        </w:rPr>
      </w:pPr>
      <w:r>
        <w:rPr>
          <w:rFonts w:ascii="Helvetica;sans-serif" w:hAnsi="Helvetica;sans-serif"/>
          <w:b/>
          <w:sz w:val="24"/>
          <w:shd w:fill="FFFFFF" w:val="clear"/>
        </w:rPr>
        <w:t>Financial Results for the Fourth Quarter and Full Fiscal Year Ended December 31, 2025</w:t>
      </w:r>
    </w:p>
    <w:p>
      <w:pPr>
        <w:pStyle w:val="TextBody"/>
        <w:bidi w:val="0"/>
        <w:spacing w:lineRule="auto" w:line="285"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ind w:left="0" w:right="0" w:hanging="0"/>
              <w:jc w:val="left"/>
              <w:rPr/>
            </w:pPr>
            <w:r>
              <w:rPr>
                <w:rFonts w:ascii="Helvetica;sans-serif" w:hAnsi="Helvetica;sans-serif"/>
                <w:b/>
                <w:i w:val="false"/>
                <w:caps w:val="false"/>
                <w:smallCaps w:val="false"/>
                <w:sz w:val="24"/>
              </w:rPr>
              <w:t>Net Product Sales – </w:t>
            </w:r>
            <w:r>
              <w:rPr>
                <w:rFonts w:ascii="Helvetica;sans-serif" w:hAnsi="Helvetica;sans-serif"/>
                <w:b w:val="false"/>
                <w:i w:val="false"/>
                <w:caps w:val="false"/>
                <w:smallCaps w:val="false"/>
                <w:sz w:val="24"/>
              </w:rPr>
              <w:t>For the fourth quarter of 2025, the Company recorded net product sales of $13.8 million compared to $7.9 million in the fourth quarter of 2024, representing an increase of approximately 75%. For the full fiscal year (FY) 2025, the Company recorded net product sales of approximately $44.6 million compared to $29.6 million in 2024, representing an increase of approximately 50%. The increase in net product sales is attributable to growth across both new and existing accounts with notable success in conversion and adherence of PEDMARK</w:t>
            </w:r>
            <w:r>
              <w:rPr>
                <w:rFonts w:ascii="Helvetica;sans-serif" w:hAnsi="Helvetica;sans-serif"/>
                <w:b w:val="false"/>
                <w:i w:val="false"/>
                <w:caps w:val="false"/>
                <w:smallCaps w:val="false"/>
                <w:sz w:val="18"/>
              </w:rPr>
              <w:t>®</w:t>
            </w:r>
            <w:r>
              <w:rPr>
                <w:caps w:val="false"/>
                <w:smallCaps w:val="false"/>
              </w:rPr>
              <w:t xml:space="preserve"> </w:t>
            </w:r>
            <w:r>
              <w:rPr>
                <w:rFonts w:ascii="Helvetica;sans-serif" w:hAnsi="Helvetica;sans-serif"/>
                <w:b w:val="false"/>
                <w:i w:val="false"/>
                <w:caps w:val="false"/>
                <w:smallCaps w:val="false"/>
                <w:sz w:val="24"/>
              </w:rPr>
              <w:t xml:space="preserve">patients. </w:t>
            </w:r>
            <w:r>
              <w:rPr>
                <w:rFonts w:ascii="Helvetica;sans-serif" w:hAnsi="Helvetica;sans-serif"/>
                <w:b/>
                <w:i w:val="false"/>
                <w:caps w:val="false"/>
                <w:smallCaps w:val="false"/>
                <w:sz w:val="24"/>
              </w:rPr>
              <w:br/>
            </w:r>
            <w:r>
              <w:rPr/>
              <w:t>​</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4"/>
              </w:rPr>
              <w:t xml:space="preserve">Selling and Marketing Expenses – </w:t>
            </w:r>
            <w:r>
              <w:rPr>
                <w:rFonts w:ascii="Helvetica;sans-serif" w:hAnsi="Helvetica;sans-serif"/>
                <w:b w:val="false"/>
                <w:i w:val="false"/>
                <w:caps w:val="false"/>
                <w:smallCaps w:val="false"/>
                <w:sz w:val="24"/>
              </w:rPr>
              <w:t>The Company recorded $6.1 million in selling and marketing expenses in the fourth quarter of 2025 compared to $3.9 million in the fourth quarter of 2024. The increase in  selling and marketing expenses is largely related to increased payroll and additional marketing expenses as we focused on expanding our commercial team and preparing for additional outreach to community oncology centers and the adolescent and young adult (AYA) population. For the FY 2025, the Company recorded $18.6 million in selling and marketing compared to $18.4 million in fiscal year 2024. The year-</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Helvetica;sans-serif" w:hAnsi="Helvetica;sans-serif"/>
                <w:b w:val="false"/>
                <w:i w:val="false"/>
                <w:caps w:val="false"/>
                <w:smallCaps w:val="false"/>
                <w:sz w:val="24"/>
              </w:rPr>
            </w:pPr>
            <w:r>
              <w:rPr>
                <w:rFonts w:ascii="Helvetica;sans-serif" w:hAnsi="Helvetica;sans-serif"/>
                <w:b w:val="false"/>
                <w:i w:val="false"/>
                <w:caps w:val="false"/>
                <w:smallCaps w:val="false"/>
                <w:sz w:val="24"/>
              </w:rPr>
              <w:t>over-year slight increase is largely related to increased payroll and marketing expenses in the comparable period offset by the elimination of European expenses after the announcement of the Norgine transaction in March 2024.</w:t>
            </w:r>
          </w:p>
        </w:tc>
      </w:tr>
    </w:tbl>
    <w:p>
      <w:pPr>
        <w:pStyle w:val="TextBody"/>
        <w:bidi w:val="0"/>
        <w:spacing w:lineRule="auto" w:line="307" w:before="0" w:after="160"/>
        <w:ind w:left="108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4"/>
              </w:rPr>
              <w:t xml:space="preserve">General and Administrative (G&amp;A) Expenses – </w:t>
            </w:r>
            <w:r>
              <w:rPr>
                <w:rFonts w:ascii="Helvetica;sans-serif" w:hAnsi="Helvetica;sans-serif"/>
                <w:b w:val="false"/>
                <w:i w:val="false"/>
                <w:caps w:val="false"/>
                <w:smallCaps w:val="false"/>
                <w:sz w:val="24"/>
              </w:rPr>
              <w:t xml:space="preserve">The Company recorded $8.9 million in G&amp;A expenses fourth quarter of 2025 compared to $4.2 million in the fourth quarter of 2024. For the FY 2025, the Company recorded $28.8 million in G&amp;A expenses compared to $23.1 million in fiscal year 2024.  G&amp;A expenses increased in both the comparable quarterly and fiscal years due to increased intellectual property-related legal expenses, increased payroll expenses as headcount increased and increased non-cash expenses associated with equity-based remuneration. </w:t>
            </w:r>
          </w:p>
        </w:tc>
      </w:tr>
    </w:tbl>
    <w:p>
      <w:pPr>
        <w:pStyle w:val="TextBody"/>
        <w:bidi w:val="0"/>
        <w:spacing w:lineRule="auto" w:line="307" w:before="0" w:after="160"/>
        <w:ind w:left="36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Helvetica;sans-serif" w:hAnsi="Helvetica;sans-serif"/>
                <w:b/>
                <w:i w:val="false"/>
                <w:caps w:val="false"/>
                <w:smallCaps w:val="false"/>
                <w:sz w:val="24"/>
              </w:rPr>
              <w:t>Cash Position – </w:t>
            </w:r>
            <w:r>
              <w:rPr>
                <w:rFonts w:ascii="Helvetica;sans-serif" w:hAnsi="Helvetica;sans-serif"/>
                <w:b w:val="false"/>
                <w:i w:val="false"/>
                <w:caps w:val="false"/>
                <w:smallCaps w:val="false"/>
                <w:sz w:val="24"/>
              </w:rPr>
              <w:t>Cash and cash equivalents were $36.7 million as of December 31, 2025. For the FY 2025, there was a $10.2 million increase in cash and cash equivalents between December 31, 2024 and December 31, 2025. The net increase in cash was primarily due to the approximately $42.0 million in net proceeds from equity offerings and net cash collected from net product sales offset by operating expenses and the $21.5 million debt paydown in November of 2025. As of December 31, 2025 the company had $0 in debt outstanding.</w:t>
            </w:r>
          </w:p>
        </w:tc>
      </w:tr>
    </w:tbl>
    <w:p>
      <w:pPr>
        <w:pStyle w:val="TextBody"/>
        <w:bidi w:val="0"/>
        <w:spacing w:lineRule="auto" w:line="307" w:before="0" w:after="160"/>
        <w:ind w:left="360" w:right="0" w:hanging="0"/>
        <w:jc w:val="both"/>
        <w:rPr/>
      </w:pPr>
      <w:r>
        <w:rPr/>
        <w:t>​</w:t>
      </w:r>
    </w:p>
    <w:p>
      <w:pPr>
        <w:pStyle w:val="TextBody"/>
        <w:bidi w:val="0"/>
        <w:spacing w:lineRule="auto" w:line="285" w:before="0" w:after="0"/>
        <w:ind w:left="0" w:right="0" w:hanging="0"/>
        <w:jc w:val="both"/>
        <w:rPr>
          <w:rFonts w:ascii="Times New Roman;Times;serif" w:hAnsi="Times New Roman;Times;serif"/>
          <w:b/>
          <w:sz w:val="24"/>
        </w:rPr>
      </w:pPr>
      <w:r>
        <w:rPr>
          <w:rFonts w:ascii="Times New Roman;Times;serif" w:hAnsi="Times New Roman;Times;serif"/>
          <w:b/>
          <w:sz w:val="24"/>
        </w:rPr>
        <w:t>Fourth Quarter and Full-Year 2025 Conference Call Information</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Helvetica;sans-serif" w:hAnsi="Helvetica;sans-serif"/>
          <w:b/>
          <w:i w:val="false"/>
          <w:caps w:val="false"/>
          <w:smallCaps w:val="false"/>
          <w:sz w:val="24"/>
        </w:rPr>
        <w:t>Date:</w:t>
      </w:r>
      <w:r>
        <w:rPr>
          <w:rFonts w:ascii="Helvetica;sans-serif" w:hAnsi="Helvetica;sans-serif"/>
          <w:sz w:val="24"/>
        </w:rPr>
        <w:t>Tuesday, March 24, 2026</w:t>
      </w:r>
    </w:p>
    <w:p>
      <w:pPr>
        <w:pStyle w:val="TextBody"/>
        <w:bidi w:val="0"/>
        <w:spacing w:lineRule="auto" w:line="285" w:before="0" w:after="0"/>
        <w:ind w:left="0" w:right="0" w:hanging="0"/>
        <w:jc w:val="left"/>
        <w:rPr>
          <w:rFonts w:ascii="Times New Roman;Times;serif" w:hAnsi="Times New Roman;Times;serif"/>
          <w:sz w:val="20"/>
        </w:rPr>
      </w:pPr>
      <w:r>
        <w:rPr>
          <w:rFonts w:ascii="Helvetica;sans-serif" w:hAnsi="Helvetica;sans-serif"/>
          <w:b/>
          <w:i w:val="false"/>
          <w:caps w:val="false"/>
          <w:smallCaps w:val="false"/>
          <w:sz w:val="24"/>
        </w:rPr>
        <w:t>Time:</w:t>
      </w:r>
      <w:r>
        <w:rPr>
          <w:rFonts w:ascii="Helvetica;sans-serif" w:hAnsi="Helvetica;sans-serif"/>
          <w:sz w:val="24"/>
        </w:rPr>
        <w:t>8:30 a.m. Eastern Time</w:t>
      </w:r>
    </w:p>
    <w:p>
      <w:pPr>
        <w:pStyle w:val="TextBody"/>
        <w:bidi w:val="0"/>
        <w:spacing w:lineRule="auto" w:line="285" w:before="0" w:after="0"/>
        <w:ind w:left="0" w:right="0" w:hanging="0"/>
        <w:jc w:val="left"/>
        <w:rPr>
          <w:rFonts w:ascii="Times New Roman;Times;serif" w:hAnsi="Times New Roman;Times;serif"/>
          <w:sz w:val="20"/>
        </w:rPr>
      </w:pPr>
      <w:r>
        <w:rPr>
          <w:rFonts w:ascii="Helvetica;sans-serif" w:hAnsi="Helvetica;sans-serif"/>
          <w:b/>
          <w:sz w:val="24"/>
        </w:rPr>
        <w:t xml:space="preserve">Webcast Link: </w:t>
      </w:r>
      <w:r>
        <w:rPr>
          <w:rFonts w:ascii="Helvetica;sans-serif" w:hAnsi="Helvetica;sans-serif"/>
          <w:sz w:val="24"/>
        </w:rPr>
        <w:t>https://edge.media-server.com/mmc/p/3crq898e</w:t>
      </w:r>
      <w:r>
        <w:rPr>
          <w:rFonts w:ascii="Times New Roman;Times;serif" w:hAnsi="Times New Roman;Times;serif"/>
          <w:sz w:val="20"/>
        </w:rPr>
        <w:t xml:space="preserve"> </w:t>
      </w:r>
    </w:p>
    <w:p>
      <w:pPr>
        <w:pStyle w:val="TextBody"/>
        <w:bidi w:val="0"/>
        <w:spacing w:lineRule="auto" w:line="285" w:before="0" w:after="0"/>
        <w:ind w:left="0" w:right="0" w:hanging="0"/>
        <w:jc w:val="left"/>
        <w:rPr>
          <w:rFonts w:ascii="Times New Roman;Times;serif" w:hAnsi="Times New Roman;Times;serif"/>
          <w:sz w:val="20"/>
        </w:rPr>
      </w:pPr>
      <w:r>
        <w:rPr>
          <w:rFonts w:ascii="Helvetica;sans-serif" w:hAnsi="Helvetica;sans-serif"/>
          <w:b/>
          <w:sz w:val="24"/>
        </w:rPr>
        <w:t xml:space="preserve">Participant Link: </w:t>
      </w:r>
      <w:r>
        <w:rPr>
          <w:rFonts w:ascii="Helvetica;sans-serif" w:hAnsi="Helvetica;sans-serif"/>
          <w:sz w:val="24"/>
        </w:rPr>
        <w:t>https://register-conf.media-server.com/register/BIb7d9f04377fd4b9cb7b005d167555402</w:t>
      </w:r>
      <w:r>
        <w:rPr>
          <w:rFonts w:ascii="Times New Roman;Times;serif" w:hAnsi="Times New Roman;Times;serif"/>
          <w:sz w:val="20"/>
        </w:rPr>
        <w:t xml:space="preserve"> </w:t>
      </w:r>
    </w:p>
    <w:p>
      <w:pPr>
        <w:pStyle w:val="TextBody"/>
        <w:bidi w:val="0"/>
        <w:spacing w:lineRule="auto" w:line="285" w:before="0" w:after="0"/>
        <w:ind w:left="0" w:right="0" w:hanging="0"/>
        <w:jc w:val="left"/>
        <w:rPr/>
      </w:pPr>
      <w:r>
        <w:rPr/>
        <w:t>​</w:t>
      </w:r>
    </w:p>
    <w:p>
      <w:pPr>
        <w:pStyle w:val="TextBody"/>
        <w:bidi w:val="0"/>
        <w:spacing w:lineRule="auto" w:line="285" w:before="240" w:after="283"/>
        <w:ind w:left="0" w:right="0" w:hanging="0"/>
        <w:jc w:val="left"/>
        <w:rPr>
          <w:rFonts w:ascii="Times New Roman;Times;serif" w:hAnsi="Times New Roman;Times;serif"/>
          <w:b/>
          <w:sz w:val="30"/>
        </w:rPr>
      </w:pPr>
      <w:r>
        <w:rPr>
          <w:rFonts w:ascii="Times New Roman;Times;serif" w:hAnsi="Times New Roman;Times;serif"/>
          <w:b/>
          <w:sz w:val="30"/>
        </w:rPr>
        <w:t>1</w:t>
      </w:r>
      <w:r>
        <w:rPr>
          <w:rFonts w:ascii="Times New Roman;Times;serif" w:hAnsi="Times New Roman;Times;serif"/>
          <w:b/>
          <w:sz w:val="24"/>
        </w:rPr>
        <w:t>Financial</w:t>
      </w:r>
      <w:r>
        <w:rPr>
          <w:rFonts w:ascii="Times New Roman;Times;serif" w:hAnsi="Times New Roman;Times;serif"/>
          <w:b/>
          <w:spacing w:val="-1"/>
          <w:sz w:val="30"/>
        </w:rPr>
        <w:t xml:space="preserve"> </w:t>
      </w:r>
      <w:r>
        <w:rPr>
          <w:rFonts w:ascii="Times New Roman;Times;serif" w:hAnsi="Times New Roman;Times;serif"/>
          <w:b/>
          <w:spacing w:val="-2"/>
          <w:sz w:val="24"/>
        </w:rPr>
        <w:t>Update</w:t>
      </w:r>
    </w:p>
    <w:p>
      <w:pPr>
        <w:pStyle w:val="TextBody"/>
        <w:bidi w:val="0"/>
        <w:spacing w:lineRule="auto" w:line="285" w:before="1" w:after="120"/>
        <w:ind w:left="72" w:right="69" w:hanging="0"/>
        <w:jc w:val="both"/>
        <w:rPr>
          <w:rFonts w:ascii="Times New Roman;Times;serif" w:hAnsi="Times New Roman;Times;serif"/>
          <w:sz w:val="20"/>
        </w:rPr>
      </w:pPr>
      <w:r>
        <w:rPr>
          <w:rFonts w:ascii="Times New Roman;Times;serif" w:hAnsi="Times New Roman;Times;serif"/>
          <w:sz w:val="24"/>
        </w:rPr>
        <w:t>The selected financial data presented below is derived from our unaudited condensed consolidated financial statements, which were prepared in accordance with U.S. generally accepted accounting principles.</w:t>
      </w:r>
      <w:r>
        <w:rPr>
          <w:rFonts w:ascii="Times New Roman;Times;serif" w:hAnsi="Times New Roman;Times;serif"/>
          <w:spacing w:val="17"/>
          <w:sz w:val="20"/>
        </w:rPr>
        <w:t xml:space="preserve"> </w:t>
      </w:r>
      <w:r>
        <w:rPr>
          <w:rFonts w:ascii="Times New Roman;Times;serif" w:hAnsi="Times New Roman;Times;serif"/>
          <w:sz w:val="24"/>
        </w:rPr>
        <w:t>The</w:t>
      </w:r>
      <w:r>
        <w:rPr>
          <w:rFonts w:ascii="Times New Roman;Times;serif" w:hAnsi="Times New Roman;Times;serif"/>
          <w:spacing w:val="18"/>
          <w:sz w:val="20"/>
        </w:rPr>
        <w:t xml:space="preserve"> </w:t>
      </w:r>
      <w:r>
        <w:rPr>
          <w:rFonts w:ascii="Times New Roman;Times;serif" w:hAnsi="Times New Roman;Times;serif"/>
          <w:sz w:val="24"/>
        </w:rPr>
        <w:t>complete</w:t>
      </w:r>
      <w:r>
        <w:rPr>
          <w:rFonts w:ascii="Times New Roman;Times;serif" w:hAnsi="Times New Roman;Times;serif"/>
          <w:spacing w:val="20"/>
          <w:sz w:val="20"/>
        </w:rPr>
        <w:t xml:space="preserve"> </w:t>
      </w:r>
      <w:r>
        <w:rPr>
          <w:rFonts w:ascii="Times New Roman;Times;serif" w:hAnsi="Times New Roman;Times;serif"/>
          <w:sz w:val="24"/>
        </w:rPr>
        <w:t>unaudited</w:t>
      </w:r>
      <w:r>
        <w:rPr>
          <w:rFonts w:ascii="Times New Roman;Times;serif" w:hAnsi="Times New Roman;Times;serif"/>
          <w:spacing w:val="19"/>
          <w:sz w:val="20"/>
        </w:rPr>
        <w:t xml:space="preserve"> </w:t>
      </w:r>
      <w:r>
        <w:rPr>
          <w:rFonts w:ascii="Times New Roman;Times;serif" w:hAnsi="Times New Roman;Times;serif"/>
          <w:sz w:val="24"/>
        </w:rPr>
        <w:t>condensed</w:t>
      </w:r>
      <w:r>
        <w:rPr>
          <w:rFonts w:ascii="Times New Roman;Times;serif" w:hAnsi="Times New Roman;Times;serif"/>
          <w:spacing w:val="19"/>
          <w:sz w:val="20"/>
        </w:rPr>
        <w:t xml:space="preserve"> </w:t>
      </w:r>
      <w:r>
        <w:rPr>
          <w:rFonts w:ascii="Times New Roman;Times;serif" w:hAnsi="Times New Roman;Times;serif"/>
          <w:sz w:val="24"/>
        </w:rPr>
        <w:t>consolidated</w:t>
      </w:r>
      <w:r>
        <w:rPr>
          <w:rFonts w:ascii="Times New Roman;Times;serif" w:hAnsi="Times New Roman;Times;serif"/>
          <w:spacing w:val="19"/>
          <w:sz w:val="20"/>
        </w:rPr>
        <w:t xml:space="preserve"> </w:t>
      </w:r>
      <w:r>
        <w:rPr>
          <w:rFonts w:ascii="Times New Roman;Times;serif" w:hAnsi="Times New Roman;Times;serif"/>
          <w:sz w:val="24"/>
        </w:rPr>
        <w:t>financial</w:t>
      </w:r>
      <w:r>
        <w:rPr>
          <w:rFonts w:ascii="Times New Roman;Times;serif" w:hAnsi="Times New Roman;Times;serif"/>
          <w:spacing w:val="20"/>
          <w:sz w:val="20"/>
        </w:rPr>
        <w:t xml:space="preserve"> </w:t>
      </w:r>
      <w:r>
        <w:rPr>
          <w:rFonts w:ascii="Times New Roman;Times;serif" w:hAnsi="Times New Roman;Times;serif"/>
          <w:sz w:val="24"/>
        </w:rPr>
        <w:t>statements</w:t>
      </w:r>
      <w:r>
        <w:rPr>
          <w:rFonts w:ascii="Times New Roman;Times;serif" w:hAnsi="Times New Roman;Times;serif"/>
          <w:spacing w:val="19"/>
          <w:sz w:val="20"/>
        </w:rPr>
        <w:t xml:space="preserve"> </w:t>
      </w:r>
      <w:r>
        <w:rPr>
          <w:rFonts w:ascii="Times New Roman;Times;serif" w:hAnsi="Times New Roman;Times;serif"/>
          <w:sz w:val="24"/>
        </w:rPr>
        <w:t>for</w:t>
      </w:r>
      <w:r>
        <w:rPr>
          <w:rFonts w:ascii="Times New Roman;Times;serif" w:hAnsi="Times New Roman;Times;serif"/>
          <w:spacing w:val="18"/>
          <w:sz w:val="20"/>
        </w:rPr>
        <w:t xml:space="preserve"> </w:t>
      </w:r>
      <w:r>
        <w:rPr>
          <w:rFonts w:ascii="Times New Roman;Times;serif" w:hAnsi="Times New Roman;Times;serif"/>
          <w:sz w:val="24"/>
        </w:rPr>
        <w:t>the</w:t>
      </w:r>
      <w:r>
        <w:rPr>
          <w:rFonts w:ascii="Times New Roman;Times;serif" w:hAnsi="Times New Roman;Times;serif"/>
          <w:spacing w:val="19"/>
          <w:sz w:val="20"/>
        </w:rPr>
        <w:t xml:space="preserve"> </w:t>
      </w:r>
      <w:r>
        <w:rPr>
          <w:rFonts w:ascii="Times New Roman;Times;serif" w:hAnsi="Times New Roman;Times;serif"/>
          <w:sz w:val="24"/>
        </w:rPr>
        <w:t>period</w:t>
      </w:r>
      <w:r>
        <w:rPr>
          <w:rFonts w:ascii="Times New Roman;Times;serif" w:hAnsi="Times New Roman;Times;serif"/>
          <w:spacing w:val="19"/>
          <w:sz w:val="20"/>
        </w:rPr>
        <w:t xml:space="preserve"> </w:t>
      </w:r>
      <w:r>
        <w:rPr>
          <w:rFonts w:ascii="Times New Roman;Times;serif" w:hAnsi="Times New Roman;Times;serif"/>
          <w:spacing w:val="-2"/>
          <w:sz w:val="24"/>
        </w:rPr>
        <w:t xml:space="preserve">ended </w:t>
      </w:r>
      <w:r>
        <w:rPr>
          <w:rFonts w:ascii="Times New Roman;Times;serif" w:hAnsi="Times New Roman;Times;serif"/>
          <w:sz w:val="24"/>
        </w:rPr>
        <w:t>December 31,</w:t>
      </w:r>
      <w:r>
        <w:rPr>
          <w:rFonts w:ascii="Times New Roman;Times;serif" w:hAnsi="Times New Roman;Times;serif"/>
          <w:spacing w:val="-12"/>
          <w:sz w:val="20"/>
        </w:rPr>
        <w:t xml:space="preserve"> </w:t>
      </w:r>
      <w:r>
        <w:rPr>
          <w:rFonts w:ascii="Times New Roman;Times;serif" w:hAnsi="Times New Roman;Times;serif"/>
          <w:sz w:val="24"/>
        </w:rPr>
        <w:t>2025,</w:t>
      </w:r>
      <w:r>
        <w:rPr>
          <w:rFonts w:ascii="Times New Roman;Times;serif" w:hAnsi="Times New Roman;Times;serif"/>
          <w:spacing w:val="-12"/>
          <w:sz w:val="20"/>
        </w:rPr>
        <w:t xml:space="preserve"> </w:t>
      </w:r>
      <w:r>
        <w:rPr>
          <w:rFonts w:ascii="Times New Roman;Times;serif" w:hAnsi="Times New Roman;Times;serif"/>
          <w:sz w:val="24"/>
        </w:rPr>
        <w:t>and</w:t>
      </w:r>
      <w:r>
        <w:rPr>
          <w:rFonts w:ascii="Times New Roman;Times;serif" w:hAnsi="Times New Roman;Times;serif"/>
          <w:spacing w:val="-12"/>
          <w:sz w:val="20"/>
        </w:rPr>
        <w:t xml:space="preserve"> </w:t>
      </w:r>
      <w:r>
        <w:rPr>
          <w:rFonts w:ascii="Times New Roman;Times;serif" w:hAnsi="Times New Roman;Times;serif"/>
          <w:sz w:val="24"/>
        </w:rPr>
        <w:t>management's</w:t>
      </w:r>
      <w:r>
        <w:rPr>
          <w:rFonts w:ascii="Times New Roman;Times;serif" w:hAnsi="Times New Roman;Times;serif"/>
          <w:spacing w:val="-12"/>
          <w:sz w:val="20"/>
        </w:rPr>
        <w:t xml:space="preserve"> </w:t>
      </w:r>
      <w:r>
        <w:rPr>
          <w:rFonts w:ascii="Times New Roman;Times;serif" w:hAnsi="Times New Roman;Times;serif"/>
          <w:sz w:val="24"/>
        </w:rPr>
        <w:t>discussion</w:t>
      </w:r>
      <w:r>
        <w:rPr>
          <w:rFonts w:ascii="Times New Roman;Times;serif" w:hAnsi="Times New Roman;Times;serif"/>
          <w:spacing w:val="-12"/>
          <w:sz w:val="20"/>
        </w:rPr>
        <w:t xml:space="preserve"> </w:t>
      </w:r>
      <w:r>
        <w:rPr>
          <w:rFonts w:ascii="Times New Roman;Times;serif" w:hAnsi="Times New Roman;Times;serif"/>
          <w:sz w:val="24"/>
        </w:rPr>
        <w:t>and</w:t>
      </w:r>
      <w:r>
        <w:rPr>
          <w:rFonts w:ascii="Times New Roman;Times;serif" w:hAnsi="Times New Roman;Times;serif"/>
          <w:spacing w:val="-12"/>
          <w:sz w:val="20"/>
        </w:rPr>
        <w:t xml:space="preserve"> </w:t>
      </w:r>
      <w:r>
        <w:rPr>
          <w:rFonts w:ascii="Times New Roman;Times;serif" w:hAnsi="Times New Roman;Times;serif"/>
          <w:sz w:val="24"/>
        </w:rPr>
        <w:t>analysis</w:t>
      </w:r>
      <w:r>
        <w:rPr>
          <w:rFonts w:ascii="Times New Roman;Times;serif" w:hAnsi="Times New Roman;Times;serif"/>
          <w:spacing w:val="-12"/>
          <w:sz w:val="20"/>
        </w:rPr>
        <w:t xml:space="preserve"> </w:t>
      </w:r>
      <w:r>
        <w:rPr>
          <w:rFonts w:ascii="Times New Roman;Times;serif" w:hAnsi="Times New Roman;Times;serif"/>
          <w:sz w:val="24"/>
        </w:rPr>
        <w:t>of</w:t>
      </w:r>
      <w:r>
        <w:rPr>
          <w:rFonts w:ascii="Times New Roman;Times;serif" w:hAnsi="Times New Roman;Times;serif"/>
          <w:spacing w:val="-13"/>
          <w:sz w:val="20"/>
        </w:rPr>
        <w:t xml:space="preserve"> </w:t>
      </w:r>
      <w:r>
        <w:rPr>
          <w:rFonts w:ascii="Times New Roman;Times;serif" w:hAnsi="Times New Roman;Times;serif"/>
          <w:sz w:val="24"/>
        </w:rPr>
        <w:t>financial</w:t>
      </w:r>
      <w:r>
        <w:rPr>
          <w:rFonts w:ascii="Times New Roman;Times;serif" w:hAnsi="Times New Roman;Times;serif"/>
          <w:spacing w:val="-10"/>
          <w:sz w:val="20"/>
        </w:rPr>
        <w:t xml:space="preserve"> </w:t>
      </w:r>
      <w:r>
        <w:rPr>
          <w:rFonts w:ascii="Times New Roman;Times;serif" w:hAnsi="Times New Roman;Times;serif"/>
          <w:sz w:val="24"/>
        </w:rPr>
        <w:t>condition</w:t>
      </w:r>
      <w:r>
        <w:rPr>
          <w:rFonts w:ascii="Times New Roman;Times;serif" w:hAnsi="Times New Roman;Times;serif"/>
          <w:spacing w:val="-12"/>
          <w:sz w:val="20"/>
        </w:rPr>
        <w:t xml:space="preserve"> </w:t>
      </w:r>
      <w:r>
        <w:rPr>
          <w:rFonts w:ascii="Times New Roman;Times;serif" w:hAnsi="Times New Roman;Times;serif"/>
          <w:sz w:val="24"/>
        </w:rPr>
        <w:t>and</w:t>
      </w:r>
      <w:r>
        <w:rPr>
          <w:rFonts w:ascii="Times New Roman;Times;serif" w:hAnsi="Times New Roman;Times;serif"/>
          <w:spacing w:val="-12"/>
          <w:sz w:val="20"/>
        </w:rPr>
        <w:t xml:space="preserve"> </w:t>
      </w:r>
      <w:r>
        <w:rPr>
          <w:rFonts w:ascii="Times New Roman;Times;serif" w:hAnsi="Times New Roman;Times;serif"/>
          <w:sz w:val="24"/>
        </w:rPr>
        <w:t>results</w:t>
      </w:r>
      <w:r>
        <w:rPr>
          <w:rFonts w:ascii="Times New Roman;Times;serif" w:hAnsi="Times New Roman;Times;serif"/>
          <w:spacing w:val="-12"/>
          <w:sz w:val="20"/>
        </w:rPr>
        <w:t xml:space="preserve"> </w:t>
      </w:r>
      <w:r>
        <w:rPr>
          <w:rFonts w:ascii="Times New Roman;Times;serif" w:hAnsi="Times New Roman;Times;serif"/>
          <w:sz w:val="24"/>
        </w:rPr>
        <w:t>of</w:t>
      </w:r>
      <w:r>
        <w:rPr>
          <w:rFonts w:ascii="Times New Roman;Times;serif" w:hAnsi="Times New Roman;Times;serif"/>
          <w:spacing w:val="-13"/>
          <w:sz w:val="20"/>
        </w:rPr>
        <w:t xml:space="preserve"> </w:t>
      </w:r>
      <w:r>
        <w:rPr>
          <w:rFonts w:ascii="Times New Roman;Times;serif" w:hAnsi="Times New Roman;Times;serif"/>
          <w:sz w:val="24"/>
        </w:rPr>
        <w:t>operations will be available via www.sec.gov</w:t>
      </w:r>
      <w:r>
        <w:rPr>
          <w:rFonts w:ascii="Times New Roman;Times;serif" w:hAnsi="Times New Roman;Times;serif"/>
          <w:sz w:val="20"/>
        </w:rPr>
        <w:t xml:space="preserve"> </w:t>
      </w:r>
      <w:r>
        <w:rPr>
          <w:rFonts w:ascii="Times New Roman;Times;serif" w:hAnsi="Times New Roman;Times;serif"/>
          <w:sz w:val="24"/>
        </w:rPr>
        <w:t>and www.sedar.com</w:t>
      </w:r>
      <w:r>
        <w:rPr>
          <w:rFonts w:ascii="Times New Roman;Times;serif" w:hAnsi="Times New Roman;Times;serif"/>
          <w:color w:val="1F487C"/>
          <w:sz w:val="24"/>
        </w:rPr>
        <w:t>.</w:t>
      </w:r>
      <w:r>
        <w:rPr>
          <w:rFonts w:ascii="Times New Roman;Times;serif" w:hAnsi="Times New Roman;Times;serif"/>
          <w:color w:val="1F487C"/>
          <w:sz w:val="20"/>
        </w:rPr>
        <w:t xml:space="preserve"> </w:t>
      </w:r>
      <w:r>
        <w:rPr>
          <w:rFonts w:ascii="Times New Roman;Times;serif" w:hAnsi="Times New Roman;Times;serif"/>
          <w:sz w:val="24"/>
        </w:rPr>
        <w:t>All values are presented in thousands unless otherwise noted.</w:t>
      </w:r>
    </w:p>
    <w:p>
      <w:pPr>
        <w:pStyle w:val="TextBody"/>
        <w:bidi w:val="0"/>
        <w:spacing w:lineRule="auto" w:line="285" w:before="1" w:after="120"/>
        <w:ind w:left="72" w:right="69" w:hanging="0"/>
        <w:jc w:val="both"/>
        <w:rPr/>
      </w:pPr>
      <w:r>
        <w:rPr/>
        <w:t>​</w:t>
      </w:r>
    </w:p>
    <w:p>
      <w:pPr>
        <w:pStyle w:val="TextBody"/>
        <w:bidi w:val="0"/>
        <w:spacing w:lineRule="auto" w:line="285" w:before="1" w:after="120"/>
        <w:ind w:left="72" w:right="69" w:hanging="0"/>
        <w:jc w:val="both"/>
        <w:rPr/>
      </w:pPr>
      <w:r>
        <w:rPr/>
        <w:t>​</w:t>
      </w:r>
    </w:p>
    <w:p>
      <w:pPr>
        <w:pStyle w:val="TextBody"/>
        <w:bidi w:val="0"/>
        <w:spacing w:lineRule="auto" w:line="285" w:before="1" w:after="120"/>
        <w:ind w:left="72" w:right="69" w:hanging="0"/>
        <w:jc w:val="both"/>
        <w:rPr/>
      </w:pPr>
      <w:r>
        <w:rPr/>
        <w:t>​</w:t>
      </w:r>
    </w:p>
    <w:p>
      <w:pPr>
        <w:pStyle w:val="TextBody"/>
        <w:bidi w:val="0"/>
        <w:spacing w:lineRule="auto" w:line="285" w:before="1" w:after="120"/>
        <w:ind w:left="72" w:right="69" w:hanging="0"/>
        <w:jc w:val="both"/>
        <w:rPr/>
      </w:pPr>
      <w:r>
        <w:rPr/>
        <w:t>​</w:t>
      </w:r>
    </w:p>
    <w:p>
      <w:pPr>
        <w:pStyle w:val="TextBody"/>
        <w:bidi w:val="0"/>
        <w:spacing w:lineRule="auto" w:line="285" w:before="1" w:after="120"/>
        <w:ind w:left="72" w:right="69" w:hanging="0"/>
        <w:jc w:val="both"/>
        <w:rPr/>
      </w:pPr>
      <w:r>
        <w:rPr/>
        <w:t>​</w:t>
      </w:r>
    </w:p>
    <w:p>
      <w:pPr>
        <w:pStyle w:val="TextBody"/>
        <w:bidi w:val="0"/>
        <w:spacing w:lineRule="auto" w:line="285" w:before="1" w:after="120"/>
        <w:ind w:left="72" w:right="69" w:hanging="0"/>
        <w:jc w:val="both"/>
        <w:rPr/>
      </w:pPr>
      <w:r>
        <w:rPr/>
        <w:t>​</w:t>
      </w:r>
    </w:p>
    <w:p>
      <w:pPr>
        <w:pStyle w:val="TextBody"/>
        <w:bidi w:val="0"/>
        <w:spacing w:lineRule="auto" w:line="285" w:before="1" w:after="120"/>
        <w:ind w:left="72" w:right="69" w:hanging="0"/>
        <w:jc w:val="both"/>
        <w:rPr/>
      </w:pPr>
      <w:r>
        <w:rPr/>
        <w:t>​</w:t>
      </w:r>
    </w:p>
    <w:p>
      <w:pPr>
        <w:pStyle w:val="TextBody"/>
        <w:bidi w:val="0"/>
        <w:spacing w:lineRule="auto" w:line="285" w:before="1" w:after="120"/>
        <w:ind w:left="72" w:right="69" w:hanging="0"/>
        <w:jc w:val="both"/>
        <w:rPr/>
      </w:pPr>
      <w:r>
        <w:rPr/>
        <w:t>​</w:t>
      </w:r>
    </w:p>
    <w:p>
      <w:pPr>
        <w:pStyle w:val="TextBody"/>
        <w:bidi w:val="0"/>
        <w:spacing w:lineRule="auto" w:line="285" w:before="1" w:after="120"/>
        <w:ind w:left="72" w:right="69" w:hanging="0"/>
        <w:jc w:val="both"/>
        <w:rPr/>
      </w:pPr>
      <w:r>
        <w:rPr/>
        <w:t>​</w:t>
      </w:r>
    </w:p>
    <w:p>
      <w:pPr>
        <w:pStyle w:val="TextBody"/>
        <w:bidi w:val="0"/>
        <w:spacing w:lineRule="auto" w:line="285" w:before="1" w:after="120"/>
        <w:ind w:left="72" w:right="69" w:hanging="0"/>
        <w:jc w:val="both"/>
        <w:rPr/>
      </w:pPr>
      <w:r>
        <w:rPr/>
        <w:t>​</w:t>
      </w:r>
    </w:p>
    <w:p>
      <w:pPr>
        <w:pStyle w:val="TextBody"/>
        <w:bidi w:val="0"/>
        <w:spacing w:lineRule="auto" w:line="285" w:before="1" w:after="120"/>
        <w:ind w:left="72" w:right="69" w:hanging="0"/>
        <w:jc w:val="both"/>
        <w:rPr/>
      </w:pPr>
      <w:r>
        <w:rPr/>
        <w:t>​</w:t>
      </w:r>
    </w:p>
    <w:p>
      <w:pPr>
        <w:pStyle w:val="TextBody"/>
        <w:bidi w:val="0"/>
        <w:spacing w:lineRule="auto" w:line="285" w:before="1" w:after="120"/>
        <w:ind w:left="72" w:right="69" w:hanging="0"/>
        <w:jc w:val="both"/>
        <w:rPr/>
      </w:pPr>
      <w:r>
        <w:rPr/>
        <w:t>​</w:t>
      </w:r>
    </w:p>
    <w:p>
      <w:pPr>
        <w:pStyle w:val="TextBody"/>
        <w:bidi w:val="0"/>
        <w:spacing w:lineRule="auto" w:line="285" w:before="1" w:after="120"/>
        <w:ind w:left="72" w:right="69" w:hanging="0"/>
        <w:jc w:val="both"/>
        <w:rPr/>
      </w:pPr>
      <w:r>
        <w:rPr/>
        <w:t>​</w:t>
      </w:r>
    </w:p>
    <w:p>
      <w:pPr>
        <w:pStyle w:val="TextBody"/>
        <w:bidi w:val="0"/>
        <w:spacing w:lineRule="auto" w:line="285" w:before="1" w:after="120"/>
        <w:ind w:left="72" w:right="69" w:hanging="0"/>
        <w:jc w:val="both"/>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101"/>
        <w:gridCol w:w="301"/>
        <w:gridCol w:w="968"/>
        <w:gridCol w:w="346"/>
        <w:gridCol w:w="301"/>
        <w:gridCol w:w="968"/>
        <w:gridCol w:w="286"/>
        <w:gridCol w:w="281"/>
        <w:gridCol w:w="988"/>
        <w:gridCol w:w="346"/>
        <w:gridCol w:w="297"/>
        <w:gridCol w:w="1022"/>
      </w:tblGrid>
      <w:tr>
        <w:trPr/>
        <w:tc>
          <w:tcPr>
            <w:tcW w:w="4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604135" cy="175260"/>
                      <wp:effectExtent l="0" t="0" r="0" b="0"/>
                      <wp:wrapNone/>
                      <wp:docPr id="7" name="Frame6"/>
                      <a:graphic xmlns:a="http://schemas.openxmlformats.org/drawingml/2006/main">
                        <a:graphicData uri="http://schemas.microsoft.com/office/word/2010/wordprocessingShape">
                          <wps:wsp>
                            <wps:cNvSpPr txBox="1"/>
                            <wps:spPr>
                              <a:xfrm>
                                <a:off x="0" y="0"/>
                                <a:ext cx="2604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91135" cy="175260"/>
                      <wp:effectExtent l="0" t="0" r="0" b="0"/>
                      <wp:wrapNone/>
                      <wp:docPr id="8" name="Frame7"/>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14680" cy="175260"/>
                      <wp:effectExtent l="0" t="0" r="0" b="0"/>
                      <wp:wrapNone/>
                      <wp:docPr id="9" name="Frame8"/>
                      <a:graphic xmlns:a="http://schemas.openxmlformats.org/drawingml/2006/main">
                        <a:graphicData uri="http://schemas.microsoft.com/office/word/2010/wordprocessingShape">
                          <wps:wsp>
                            <wps:cNvSpPr txBox="1"/>
                            <wps:spPr>
                              <a:xfrm>
                                <a:off x="0" y="0"/>
                                <a:ext cx="6146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91135" cy="175260"/>
                      <wp:effectExtent l="0" t="0" r="0" b="0"/>
                      <wp:wrapNone/>
                      <wp:docPr id="11" name="Frame10"/>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14680" cy="175260"/>
                      <wp:effectExtent l="0" t="0" r="0" b="0"/>
                      <wp:wrapNone/>
                      <wp:docPr id="12" name="Frame11"/>
                      <a:graphic xmlns:a="http://schemas.openxmlformats.org/drawingml/2006/main">
                        <a:graphicData uri="http://schemas.microsoft.com/office/word/2010/wordprocessingShape">
                          <wps:wsp>
                            <wps:cNvSpPr txBox="1"/>
                            <wps:spPr>
                              <a:xfrm>
                                <a:off x="0" y="0"/>
                                <a:ext cx="6146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81610" cy="175260"/>
                      <wp:effectExtent l="0" t="0" r="0" b="0"/>
                      <wp:wrapNone/>
                      <wp:docPr id="13" name="Frame12"/>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78435" cy="175260"/>
                      <wp:effectExtent l="0" t="0" r="0" b="0"/>
                      <wp:wrapNone/>
                      <wp:docPr id="14" name="Frame13"/>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27380" cy="175260"/>
                      <wp:effectExtent l="0" t="0" r="0" b="0"/>
                      <wp:wrapNone/>
                      <wp:docPr id="15" name="Frame14"/>
                      <a:graphic xmlns:a="http://schemas.openxmlformats.org/drawingml/2006/main">
                        <a:graphicData uri="http://schemas.microsoft.com/office/word/2010/wordprocessingShape">
                          <wps:wsp>
                            <wps:cNvSpPr txBox="1"/>
                            <wps:spPr>
                              <a:xfrm>
                                <a:off x="0" y="0"/>
                                <a:ext cx="6273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88595" cy="175260"/>
                      <wp:effectExtent l="0" t="0" r="0" b="0"/>
                      <wp:wrapNone/>
                      <wp:docPr id="17" name="Frame16"/>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970" cy="175260"/>
                      <wp:effectExtent l="0" t="0" r="0" b="0"/>
                      <wp:wrapNone/>
                      <wp:docPr id="18" name="Frame17"/>
                      <a:graphic xmlns:a="http://schemas.openxmlformats.org/drawingml/2006/main">
                        <a:graphicData uri="http://schemas.microsoft.com/office/word/2010/wordprocessingShape">
                          <wps:wsp>
                            <wps:cNvSpPr txBox="1"/>
                            <wps:spPr>
                              <a:xfrm>
                                <a:off x="0" y="0"/>
                                <a:ext cx="6489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101" w:type="dxa"/>
            <w:tcBorders/>
            <w:vAlign w:val="center"/>
          </w:tcPr>
          <w:p>
            <w:pPr>
              <w:pStyle w:val="TableContents"/>
              <w:bidi w:val="0"/>
              <w:spacing w:lineRule="auto" w:line="285" w:before="0" w:after="0"/>
              <w:ind w:left="0" w:right="0" w:hanging="0"/>
              <w:jc w:val="left"/>
              <w:rPr/>
            </w:pPr>
            <w:r>
              <w:rPr/>
              <w:t>​</w:t>
            </w:r>
          </w:p>
        </w:tc>
        <w:tc>
          <w:tcPr>
            <w:tcW w:w="288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286" w:type="dxa"/>
            <w:tcBorders/>
            <w:vAlign w:val="center"/>
          </w:tcPr>
          <w:p>
            <w:pPr>
              <w:pStyle w:val="TableContents"/>
              <w:bidi w:val="0"/>
              <w:spacing w:lineRule="auto" w:line="285" w:before="0" w:after="0"/>
              <w:ind w:left="0" w:right="0" w:hanging="0"/>
              <w:jc w:val="left"/>
              <w:rPr/>
            </w:pPr>
            <w:r>
              <w:rPr/>
              <w:t>​</w:t>
            </w:r>
          </w:p>
        </w:tc>
        <w:tc>
          <w:tcPr>
            <w:tcW w:w="293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Twelve Months Ended</w:t>
            </w:r>
          </w:p>
        </w:tc>
      </w:tr>
      <w:tr>
        <w:trPr/>
        <w:tc>
          <w:tcPr>
            <w:tcW w:w="4101" w:type="dxa"/>
            <w:tcBorders/>
            <w:vAlign w:val="center"/>
          </w:tcPr>
          <w:p>
            <w:pPr>
              <w:pStyle w:val="TableContents"/>
              <w:bidi w:val="0"/>
              <w:spacing w:lineRule="auto" w:line="285" w:before="0" w:after="0"/>
              <w:ind w:left="0" w:right="0" w:hanging="0"/>
              <w:jc w:val="left"/>
              <w:rPr/>
            </w:pPr>
            <w:r>
              <w:rPr/>
              <w:t>​</w:t>
            </w:r>
          </w:p>
        </w:tc>
        <w:tc>
          <w:tcPr>
            <w:tcW w:w="1269"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lineRule="auto" w:line="285" w:before="0" w:after="0"/>
              <w:ind w:left="0" w:right="0" w:hanging="0"/>
              <w:jc w:val="left"/>
              <w:rPr/>
            </w:pPr>
            <w:r>
              <w:rPr/>
              <w:t>​</w:t>
            </w:r>
          </w:p>
        </w:tc>
        <w:tc>
          <w:tcPr>
            <w:tcW w:w="1269"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286" w:type="dxa"/>
            <w:tcBorders/>
            <w:vAlign w:val="center"/>
          </w:tcPr>
          <w:p>
            <w:pPr>
              <w:pStyle w:val="TableContents"/>
              <w:bidi w:val="0"/>
              <w:spacing w:lineRule="auto" w:line="285" w:before="0" w:after="0"/>
              <w:ind w:left="0" w:right="0" w:hanging="0"/>
              <w:jc w:val="left"/>
              <w:rPr/>
            </w:pPr>
            <w:r>
              <w:rPr/>
              <w:t>  ​ ​</w:t>
            </w:r>
          </w:p>
        </w:tc>
        <w:tc>
          <w:tcPr>
            <w:tcW w:w="1269"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lineRule="auto" w:line="285" w:before="0" w:after="0"/>
              <w:ind w:left="0" w:right="0" w:hanging="0"/>
              <w:jc w:val="left"/>
              <w:rPr/>
            </w:pPr>
            <w:r>
              <w:rPr/>
              <w:t>​</w:t>
            </w:r>
          </w:p>
        </w:tc>
        <w:tc>
          <w:tcPr>
            <w:tcW w:w="1319"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4101" w:type="dxa"/>
            <w:tcBorders/>
            <w:vAlign w:val="center"/>
          </w:tcPr>
          <w:p>
            <w:pPr>
              <w:pStyle w:val="TableContents"/>
              <w:bidi w:val="0"/>
              <w:spacing w:lineRule="auto" w:line="285" w:before="0" w:after="0"/>
              <w:ind w:left="0" w:right="0" w:hanging="0"/>
              <w:jc w:val="left"/>
              <w:rPr/>
            </w:pPr>
            <w:r>
              <w:rPr/>
              <w:t>​</w:t>
            </w:r>
          </w:p>
        </w:tc>
        <w:tc>
          <w:tcPr>
            <w:tcW w:w="126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126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286" w:type="dxa"/>
            <w:tcBorders/>
            <w:vAlign w:val="center"/>
          </w:tcPr>
          <w:p>
            <w:pPr>
              <w:pStyle w:val="TableContents"/>
              <w:bidi w:val="0"/>
              <w:spacing w:lineRule="auto" w:line="285" w:before="0" w:after="0"/>
              <w:ind w:left="0" w:right="0" w:hanging="0"/>
              <w:jc w:val="left"/>
              <w:rPr/>
            </w:pPr>
            <w:r>
              <w:rPr/>
              <w:t>​</w:t>
            </w:r>
          </w:p>
        </w:tc>
        <w:tc>
          <w:tcPr>
            <w:tcW w:w="126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131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4101" w:type="dxa"/>
            <w:tcBorders/>
            <w:vAlign w:val="center"/>
          </w:tcPr>
          <w:p>
            <w:pPr>
              <w:pStyle w:val="TableContents"/>
              <w:bidi w:val="0"/>
              <w:spacing w:lineRule="auto" w:line="285" w:before="0" w:after="0"/>
              <w:ind w:left="0" w:right="0" w:hanging="0"/>
              <w:jc w:val="left"/>
              <w:rPr/>
            </w:pPr>
            <w:r>
              <w:rPr/>
              <w:t>​</w:t>
            </w:r>
          </w:p>
        </w:tc>
        <w:tc>
          <w:tcPr>
            <w:tcW w:w="301" w:type="dxa"/>
            <w:tcBorders/>
            <w:vAlign w:val="center"/>
          </w:tcPr>
          <w:p>
            <w:pPr>
              <w:pStyle w:val="TableContents"/>
              <w:bidi w:val="0"/>
              <w:spacing w:lineRule="auto" w:line="285" w:before="0" w:after="0"/>
              <w:ind w:left="0" w:right="0" w:hanging="0"/>
              <w:jc w:val="left"/>
              <w:rPr/>
            </w:pPr>
            <w:r>
              <w:rPr/>
              <w:t>​</w:t>
            </w:r>
          </w:p>
        </w:tc>
        <w:tc>
          <w:tcPr>
            <w:tcW w:w="96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01" w:type="dxa"/>
            <w:tcBorders/>
            <w:vAlign w:val="center"/>
          </w:tcPr>
          <w:p>
            <w:pPr>
              <w:pStyle w:val="TableContents"/>
              <w:bidi w:val="0"/>
              <w:spacing w:lineRule="auto" w:line="285" w:before="0" w:after="0"/>
              <w:ind w:left="0" w:right="0" w:hanging="0"/>
              <w:jc w:val="left"/>
              <w:rPr/>
            </w:pPr>
            <w:r>
              <w:rPr/>
              <w:t>​</w:t>
            </w:r>
          </w:p>
        </w:tc>
        <w:tc>
          <w:tcPr>
            <w:tcW w:w="968" w:type="dxa"/>
            <w:tcBorders/>
            <w:vAlign w:val="center"/>
          </w:tcPr>
          <w:p>
            <w:pPr>
              <w:pStyle w:val="TableContents"/>
              <w:bidi w:val="0"/>
              <w:spacing w:lineRule="auto" w:line="285" w:before="0" w:after="0"/>
              <w:ind w:left="0" w:right="0" w:hanging="0"/>
              <w:jc w:val="right"/>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281" w:type="dxa"/>
            <w:tcBorders/>
            <w:vAlign w:val="center"/>
          </w:tcPr>
          <w:p>
            <w:pPr>
              <w:pStyle w:val="TableContents"/>
              <w:bidi w:val="0"/>
              <w:spacing w:lineRule="auto" w:line="285" w:before="0" w:after="0"/>
              <w:ind w:left="0" w:right="0" w:hanging="0"/>
              <w:jc w:val="left"/>
              <w:rPr/>
            </w:pPr>
            <w:r>
              <w:rPr/>
              <w:t>​</w:t>
            </w:r>
          </w:p>
        </w:tc>
        <w:tc>
          <w:tcPr>
            <w:tcW w:w="988"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97"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right"/>
              <w:rPr/>
            </w:pPr>
            <w:r>
              <w:rPr/>
              <w:t>​</w:t>
            </w:r>
          </w:p>
        </w:tc>
      </w:tr>
      <w:tr>
        <w:trPr/>
        <w:tc>
          <w:tcPr>
            <w:tcW w:w="4101" w:type="dxa"/>
            <w:tcBorders/>
            <w:shd w:fill="CCEEFF" w:val="clear"/>
            <w:vAlign w:val="center"/>
          </w:tcPr>
          <w:p>
            <w:pPr>
              <w:pStyle w:val="TableContents"/>
              <w:bidi w:val="0"/>
              <w:spacing w:lineRule="auto" w:line="285" w:before="0" w:after="0"/>
              <w:ind w:left="0" w:right="0" w:hanging="0"/>
              <w:jc w:val="left"/>
              <w:rPr>
                <w:rFonts w:ascii="Helvetica;sans-serif" w:hAnsi="Helvetica;sans-serif"/>
                <w:b/>
                <w:sz w:val="20"/>
              </w:rPr>
            </w:pPr>
            <w:r>
              <w:rPr>
                <w:rFonts w:ascii="Helvetica;sans-serif" w:hAnsi="Helvetica;sans-serif"/>
                <w:b/>
                <w:sz w:val="20"/>
              </w:rPr>
              <w:t>Revenue</w:t>
            </w:r>
          </w:p>
        </w:tc>
        <w:tc>
          <w:tcPr>
            <w:tcW w:w="301" w:type="dxa"/>
            <w:tcBorders/>
            <w:shd w:fill="CCEEFF" w:val="clear"/>
            <w:vAlign w:val="center"/>
          </w:tcPr>
          <w:p>
            <w:pPr>
              <w:pStyle w:val="TableContents"/>
              <w:bidi w:val="0"/>
              <w:spacing w:lineRule="auto" w:line="285" w:before="0" w:after="0"/>
              <w:ind w:left="0" w:right="0" w:hanging="0"/>
              <w:jc w:val="left"/>
              <w:rPr/>
            </w:pPr>
            <w:r>
              <w:rPr/>
              <w:t>​</w:t>
            </w:r>
          </w:p>
        </w:tc>
        <w:tc>
          <w:tcPr>
            <w:tcW w:w="968"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1" w:type="dxa"/>
            <w:tcBorders/>
            <w:shd w:fill="CCEEFF" w:val="clear"/>
            <w:vAlign w:val="center"/>
          </w:tcPr>
          <w:p>
            <w:pPr>
              <w:pStyle w:val="TableContents"/>
              <w:bidi w:val="0"/>
              <w:spacing w:lineRule="auto" w:line="285" w:before="0" w:after="0"/>
              <w:ind w:left="0" w:right="0" w:hanging="0"/>
              <w:jc w:val="left"/>
              <w:rPr/>
            </w:pPr>
            <w:r>
              <w:rPr/>
              <w:t>​</w:t>
            </w:r>
          </w:p>
        </w:tc>
        <w:tc>
          <w:tcPr>
            <w:tcW w:w="968" w:type="dxa"/>
            <w:tcBorders/>
            <w:shd w:fill="CCEEFF" w:val="clear"/>
            <w:vAlign w:val="center"/>
          </w:tcPr>
          <w:p>
            <w:pPr>
              <w:pStyle w:val="TableContents"/>
              <w:bidi w:val="0"/>
              <w:spacing w:lineRule="auto" w:line="285" w:before="0" w:after="0"/>
              <w:ind w:left="0" w:right="0" w:hanging="0"/>
              <w:jc w:val="right"/>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shd w:fill="CCEEFF" w:val="clear"/>
            <w:vAlign w:val="center"/>
          </w:tcPr>
          <w:p>
            <w:pPr>
              <w:pStyle w:val="TableContents"/>
              <w:bidi w:val="0"/>
              <w:spacing w:lineRule="auto" w:line="285" w:before="0" w:after="0"/>
              <w:ind w:left="0" w:right="0" w:hanging="0"/>
              <w:jc w:val="left"/>
              <w:rPr/>
            </w:pPr>
            <w:r>
              <w:rPr/>
              <w:t>​</w:t>
            </w:r>
          </w:p>
        </w:tc>
        <w:tc>
          <w:tcPr>
            <w:tcW w:w="988"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right"/>
              <w:rPr/>
            </w:pPr>
            <w:r>
              <w:rPr/>
              <w:t>​</w:t>
            </w:r>
          </w:p>
        </w:tc>
      </w:tr>
      <w:tr>
        <w:trPr/>
        <w:tc>
          <w:tcPr>
            <w:tcW w:w="41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Product sales, net</w:t>
            </w:r>
          </w:p>
        </w:tc>
        <w:tc>
          <w:tcPr>
            <w:tcW w:w="3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13,777</w:t>
            </w:r>
          </w:p>
        </w:tc>
        <w:tc>
          <w:tcPr>
            <w:tcW w:w="346" w:type="dxa"/>
            <w:tcBorders/>
            <w:vAlign w:val="center"/>
          </w:tcPr>
          <w:p>
            <w:pPr>
              <w:pStyle w:val="TableContents"/>
              <w:bidi w:val="0"/>
              <w:spacing w:lineRule="auto" w:line="285" w:before="0" w:after="0"/>
              <w:ind w:left="0" w:right="0" w:hanging="0"/>
              <w:jc w:val="left"/>
              <w:rPr/>
            </w:pPr>
            <w:r>
              <w:rPr/>
              <w:t>​</w:t>
            </w:r>
          </w:p>
        </w:tc>
        <w:tc>
          <w:tcPr>
            <w:tcW w:w="3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7,925</w:t>
            </w:r>
          </w:p>
        </w:tc>
        <w:tc>
          <w:tcPr>
            <w:tcW w:w="286" w:type="dxa"/>
            <w:tcBorders/>
            <w:vAlign w:val="center"/>
          </w:tcPr>
          <w:p>
            <w:pPr>
              <w:pStyle w:val="TableContents"/>
              <w:bidi w:val="0"/>
              <w:spacing w:lineRule="auto" w:line="285" w:before="0" w:after="0"/>
              <w:ind w:left="0" w:right="0" w:hanging="0"/>
              <w:jc w:val="left"/>
              <w:rPr/>
            </w:pPr>
            <w:r>
              <w:rPr/>
              <w:t>​</w:t>
            </w:r>
          </w:p>
        </w:tc>
        <w:tc>
          <w:tcPr>
            <w:tcW w:w="2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44,642</w:t>
            </w:r>
          </w:p>
        </w:tc>
        <w:tc>
          <w:tcPr>
            <w:tcW w:w="346" w:type="dxa"/>
            <w:tcBorders/>
            <w:vAlign w:val="center"/>
          </w:tcPr>
          <w:p>
            <w:pPr>
              <w:pStyle w:val="TableContents"/>
              <w:bidi w:val="0"/>
              <w:spacing w:lineRule="auto" w:line="285" w:before="0" w:after="0"/>
              <w:ind w:left="0" w:right="0" w:hanging="0"/>
              <w:jc w:val="left"/>
              <w:rPr/>
            </w:pPr>
            <w:r>
              <w:rPr/>
              <w:t>​</w:t>
            </w:r>
          </w:p>
        </w:tc>
        <w:tc>
          <w:tcPr>
            <w:tcW w:w="29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29,580</w:t>
            </w:r>
          </w:p>
        </w:tc>
      </w:tr>
      <w:tr>
        <w:trPr/>
        <w:tc>
          <w:tcPr>
            <w:tcW w:w="41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Licensing revenue</w:t>
            </w:r>
          </w:p>
        </w:tc>
        <w:tc>
          <w:tcPr>
            <w:tcW w:w="3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6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6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8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17,958</w:t>
            </w:r>
          </w:p>
        </w:tc>
      </w:tr>
      <w:tr>
        <w:trPr/>
        <w:tc>
          <w:tcPr>
            <w:tcW w:w="410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6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13,777</w:t>
            </w:r>
          </w:p>
        </w:tc>
        <w:tc>
          <w:tcPr>
            <w:tcW w:w="346" w:type="dxa"/>
            <w:tcBorders/>
            <w:vAlign w:val="center"/>
          </w:tcPr>
          <w:p>
            <w:pPr>
              <w:pStyle w:val="TableContents"/>
              <w:bidi w:val="0"/>
              <w:spacing w:lineRule="auto" w:line="285"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6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7,925</w:t>
            </w:r>
          </w:p>
        </w:tc>
        <w:tc>
          <w:tcPr>
            <w:tcW w:w="286" w:type="dxa"/>
            <w:tcBorders/>
            <w:vAlign w:val="center"/>
          </w:tcPr>
          <w:p>
            <w:pPr>
              <w:pStyle w:val="TableContents"/>
              <w:bidi w:val="0"/>
              <w:spacing w:lineRule="auto" w:line="285"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8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44,642</w:t>
            </w:r>
          </w:p>
        </w:tc>
        <w:tc>
          <w:tcPr>
            <w:tcW w:w="346" w:type="dxa"/>
            <w:tcBorders/>
            <w:vAlign w:val="center"/>
          </w:tcPr>
          <w:p>
            <w:pPr>
              <w:pStyle w:val="TableContents"/>
              <w:bidi w:val="0"/>
              <w:spacing w:lineRule="auto" w:line="285"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47,538</w:t>
            </w:r>
          </w:p>
        </w:tc>
      </w:tr>
      <w:tr>
        <w:trPr/>
        <w:tc>
          <w:tcPr>
            <w:tcW w:w="4101" w:type="dxa"/>
            <w:tcBorders/>
            <w:shd w:fill="CCEEFF" w:val="clear"/>
            <w:vAlign w:val="center"/>
          </w:tcPr>
          <w:p>
            <w:pPr>
              <w:pStyle w:val="TableContents"/>
              <w:bidi w:val="0"/>
              <w:spacing w:lineRule="auto" w:line="285" w:before="0" w:after="0"/>
              <w:ind w:left="0" w:right="0" w:hanging="0"/>
              <w:jc w:val="left"/>
              <w:rPr/>
            </w:pPr>
            <w:r>
              <w:rPr/>
              <w:t>​</w:t>
            </w:r>
          </w:p>
        </w:tc>
        <w:tc>
          <w:tcPr>
            <w:tcW w:w="301" w:type="dxa"/>
            <w:tcBorders/>
            <w:shd w:fill="CCEEFF" w:val="clear"/>
            <w:vAlign w:val="center"/>
          </w:tcPr>
          <w:p>
            <w:pPr>
              <w:pStyle w:val="TableContents"/>
              <w:bidi w:val="0"/>
              <w:spacing w:lineRule="auto" w:line="285" w:before="0" w:after="0"/>
              <w:ind w:left="0" w:right="0" w:hanging="0"/>
              <w:jc w:val="left"/>
              <w:rPr/>
            </w:pPr>
            <w:r>
              <w:rPr/>
              <w:t>​</w:t>
            </w:r>
          </w:p>
        </w:tc>
        <w:tc>
          <w:tcPr>
            <w:tcW w:w="968"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1" w:type="dxa"/>
            <w:tcBorders/>
            <w:shd w:fill="CCEEFF" w:val="clear"/>
            <w:vAlign w:val="center"/>
          </w:tcPr>
          <w:p>
            <w:pPr>
              <w:pStyle w:val="TableContents"/>
              <w:bidi w:val="0"/>
              <w:spacing w:lineRule="auto" w:line="285" w:before="0" w:after="0"/>
              <w:ind w:left="0" w:right="0" w:hanging="0"/>
              <w:jc w:val="left"/>
              <w:rPr/>
            </w:pPr>
            <w:r>
              <w:rPr/>
              <w:t>​</w:t>
            </w:r>
          </w:p>
        </w:tc>
        <w:tc>
          <w:tcPr>
            <w:tcW w:w="968" w:type="dxa"/>
            <w:tcBorders/>
            <w:shd w:fill="CCEEFF" w:val="clear"/>
            <w:vAlign w:val="center"/>
          </w:tcPr>
          <w:p>
            <w:pPr>
              <w:pStyle w:val="TableContents"/>
              <w:bidi w:val="0"/>
              <w:spacing w:lineRule="auto" w:line="285" w:before="0" w:after="0"/>
              <w:ind w:left="0" w:right="0" w:hanging="0"/>
              <w:jc w:val="center"/>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shd w:fill="CCEEFF" w:val="clear"/>
            <w:vAlign w:val="center"/>
          </w:tcPr>
          <w:p>
            <w:pPr>
              <w:pStyle w:val="TableContents"/>
              <w:bidi w:val="0"/>
              <w:spacing w:lineRule="auto" w:line="285" w:before="0" w:after="0"/>
              <w:ind w:left="0" w:right="0" w:hanging="0"/>
              <w:jc w:val="left"/>
              <w:rPr/>
            </w:pPr>
            <w:r>
              <w:rPr/>
              <w:t>​</w:t>
            </w:r>
          </w:p>
        </w:tc>
        <w:tc>
          <w:tcPr>
            <w:tcW w:w="988"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center"/>
              <w:rPr/>
            </w:pPr>
            <w:r>
              <w:rPr/>
              <w:t>​</w:t>
            </w:r>
          </w:p>
        </w:tc>
      </w:tr>
      <w:tr>
        <w:trPr/>
        <w:tc>
          <w:tcPr>
            <w:tcW w:w="410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01" w:type="dxa"/>
            <w:tcBorders/>
            <w:vAlign w:val="center"/>
          </w:tcPr>
          <w:p>
            <w:pPr>
              <w:pStyle w:val="TableContents"/>
              <w:bidi w:val="0"/>
              <w:spacing w:lineRule="auto" w:line="285" w:before="0" w:after="0"/>
              <w:ind w:left="0" w:right="0" w:hanging="0"/>
              <w:jc w:val="left"/>
              <w:rPr/>
            </w:pPr>
            <w:r>
              <w:rPr/>
              <w:t> </w:t>
            </w:r>
          </w:p>
        </w:tc>
        <w:tc>
          <w:tcPr>
            <w:tcW w:w="968" w:type="dxa"/>
            <w:tcBorders/>
            <w:vAlign w:val="center"/>
          </w:tcPr>
          <w:p>
            <w:pPr>
              <w:pStyle w:val="TableContents"/>
              <w:bidi w:val="0"/>
              <w:spacing w:lineRule="auto" w:line="285" w:before="0" w:after="0"/>
              <w:ind w:left="0" w:right="0" w:hanging="0"/>
              <w:jc w:val="center"/>
              <w:rPr/>
            </w:pPr>
            <w:r>
              <w:rPr/>
              <w:t>  ​</w:t>
            </w:r>
          </w:p>
        </w:tc>
        <w:tc>
          <w:tcPr>
            <w:tcW w:w="346" w:type="dxa"/>
            <w:tcBorders/>
            <w:vAlign w:val="center"/>
          </w:tcPr>
          <w:p>
            <w:pPr>
              <w:pStyle w:val="TableContents"/>
              <w:bidi w:val="0"/>
              <w:spacing w:lineRule="auto" w:line="285" w:before="0" w:after="0"/>
              <w:ind w:left="0" w:right="0" w:hanging="0"/>
              <w:jc w:val="left"/>
              <w:rPr/>
            </w:pPr>
            <w:r>
              <w:rPr/>
              <w:t>​</w:t>
            </w:r>
          </w:p>
        </w:tc>
        <w:tc>
          <w:tcPr>
            <w:tcW w:w="301" w:type="dxa"/>
            <w:tcBorders/>
            <w:vAlign w:val="center"/>
          </w:tcPr>
          <w:p>
            <w:pPr>
              <w:pStyle w:val="TableContents"/>
              <w:bidi w:val="0"/>
              <w:spacing w:lineRule="auto" w:line="285" w:before="0" w:after="0"/>
              <w:ind w:left="0" w:right="0" w:hanging="0"/>
              <w:jc w:val="left"/>
              <w:rPr/>
            </w:pPr>
            <w:r>
              <w:rPr/>
              <w:t> </w:t>
            </w:r>
          </w:p>
        </w:tc>
        <w:tc>
          <w:tcPr>
            <w:tcW w:w="968" w:type="dxa"/>
            <w:tcBorders/>
            <w:vAlign w:val="center"/>
          </w:tcPr>
          <w:p>
            <w:pPr>
              <w:pStyle w:val="TableContents"/>
              <w:bidi w:val="0"/>
              <w:spacing w:lineRule="auto" w:line="285" w:before="0" w:after="0"/>
              <w:ind w:left="0" w:right="0" w:hanging="0"/>
              <w:jc w:val="center"/>
              <w:rPr/>
            </w:pPr>
            <w:r>
              <w:rPr/>
              <w:t>  ​</w:t>
            </w:r>
          </w:p>
        </w:tc>
        <w:tc>
          <w:tcPr>
            <w:tcW w:w="286" w:type="dxa"/>
            <w:tcBorders/>
            <w:vAlign w:val="center"/>
          </w:tcPr>
          <w:p>
            <w:pPr>
              <w:pStyle w:val="TableContents"/>
              <w:bidi w:val="0"/>
              <w:spacing w:lineRule="auto" w:line="285" w:before="0" w:after="0"/>
              <w:ind w:left="0" w:right="0" w:hanging="0"/>
              <w:jc w:val="left"/>
              <w:rPr/>
            </w:pPr>
            <w:r>
              <w:rPr/>
              <w:t>​</w:t>
            </w:r>
          </w:p>
        </w:tc>
        <w:tc>
          <w:tcPr>
            <w:tcW w:w="281" w:type="dxa"/>
            <w:tcBorders/>
            <w:vAlign w:val="center"/>
          </w:tcPr>
          <w:p>
            <w:pPr>
              <w:pStyle w:val="TableContents"/>
              <w:bidi w:val="0"/>
              <w:spacing w:lineRule="auto" w:line="285" w:before="0" w:after="0"/>
              <w:ind w:left="0" w:right="0" w:hanging="0"/>
              <w:jc w:val="left"/>
              <w:rPr/>
            </w:pPr>
            <w:r>
              <w:rPr/>
              <w:t> </w:t>
            </w:r>
          </w:p>
        </w:tc>
        <w:tc>
          <w:tcPr>
            <w:tcW w:w="988" w:type="dxa"/>
            <w:tcBorders/>
            <w:vAlign w:val="center"/>
          </w:tcPr>
          <w:p>
            <w:pPr>
              <w:pStyle w:val="TableContents"/>
              <w:bidi w:val="0"/>
              <w:spacing w:lineRule="auto" w:line="285" w:before="0" w:after="0"/>
              <w:ind w:left="0" w:right="0" w:hanging="0"/>
              <w:jc w:val="center"/>
              <w:rPr/>
            </w:pPr>
            <w:r>
              <w:rPr/>
              <w:t>  ​</w:t>
            </w:r>
          </w:p>
        </w:tc>
        <w:tc>
          <w:tcPr>
            <w:tcW w:w="346" w:type="dxa"/>
            <w:tcBorders/>
            <w:vAlign w:val="center"/>
          </w:tcPr>
          <w:p>
            <w:pPr>
              <w:pStyle w:val="TableContents"/>
              <w:bidi w:val="0"/>
              <w:spacing w:lineRule="auto" w:line="285" w:before="0" w:after="0"/>
              <w:ind w:left="0" w:right="0" w:hanging="0"/>
              <w:jc w:val="left"/>
              <w:rPr/>
            </w:pPr>
            <w:r>
              <w:rPr/>
              <w:t>​</w:t>
            </w:r>
          </w:p>
        </w:tc>
        <w:tc>
          <w:tcPr>
            <w:tcW w:w="297" w:type="dxa"/>
            <w:tcBorders/>
            <w:vAlign w:val="center"/>
          </w:tcPr>
          <w:p>
            <w:pPr>
              <w:pStyle w:val="TableContents"/>
              <w:bidi w:val="0"/>
              <w:spacing w:lineRule="auto" w:line="285" w:before="0" w:after="0"/>
              <w:ind w:left="0" w:right="0" w:hanging="0"/>
              <w:jc w:val="left"/>
              <w:rPr/>
            </w:pPr>
            <w:r>
              <w:rPr/>
              <w:t> </w:t>
            </w:r>
          </w:p>
        </w:tc>
        <w:tc>
          <w:tcPr>
            <w:tcW w:w="1022" w:type="dxa"/>
            <w:tcBorders/>
            <w:vAlign w:val="center"/>
          </w:tcPr>
          <w:p>
            <w:pPr>
              <w:pStyle w:val="TableContents"/>
              <w:bidi w:val="0"/>
              <w:spacing w:lineRule="auto" w:line="285" w:before="0" w:after="0"/>
              <w:ind w:left="0" w:right="0" w:hanging="0"/>
              <w:jc w:val="center"/>
              <w:rPr/>
            </w:pPr>
            <w:r>
              <w:rPr/>
              <w:t>  ​</w:t>
            </w:r>
          </w:p>
        </w:tc>
      </w:tr>
      <w:tr>
        <w:trPr/>
        <w:tc>
          <w:tcPr>
            <w:tcW w:w="41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01" w:type="dxa"/>
            <w:tcBorders/>
            <w:shd w:fill="CCEEFF" w:val="clear"/>
            <w:vAlign w:val="center"/>
          </w:tcPr>
          <w:p>
            <w:pPr>
              <w:pStyle w:val="TableContents"/>
              <w:bidi w:val="0"/>
              <w:spacing w:lineRule="auto" w:line="285" w:before="0" w:after="0"/>
              <w:ind w:left="0" w:right="0" w:hanging="0"/>
              <w:jc w:val="left"/>
              <w:rPr/>
            </w:pPr>
            <w:r>
              <w:rPr/>
              <w:t>​</w:t>
            </w:r>
          </w:p>
        </w:tc>
        <w:tc>
          <w:tcPr>
            <w:tcW w:w="96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1,764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1" w:type="dxa"/>
            <w:tcBorders/>
            <w:shd w:fill="CCEEFF" w:val="clear"/>
            <w:vAlign w:val="center"/>
          </w:tcPr>
          <w:p>
            <w:pPr>
              <w:pStyle w:val="TableContents"/>
              <w:bidi w:val="0"/>
              <w:spacing w:lineRule="auto" w:line="285" w:before="0" w:after="0"/>
              <w:ind w:left="0" w:right="0" w:hanging="0"/>
              <w:jc w:val="left"/>
              <w:rPr/>
            </w:pPr>
            <w:r>
              <w:rPr/>
              <w:t>​</w:t>
            </w:r>
          </w:p>
        </w:tc>
        <w:tc>
          <w:tcPr>
            <w:tcW w:w="96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669</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shd w:fill="CCEEFF" w:val="clear"/>
            <w:vAlign w:val="center"/>
          </w:tcPr>
          <w:p>
            <w:pPr>
              <w:pStyle w:val="TableContents"/>
              <w:bidi w:val="0"/>
              <w:spacing w:lineRule="auto" w:line="285" w:before="0" w:after="0"/>
              <w:ind w:left="0" w:right="0" w:hanging="0"/>
              <w:jc w:val="left"/>
              <w:rPr/>
            </w:pPr>
            <w:r>
              <w:rPr/>
              <w:t>​</w:t>
            </w:r>
          </w:p>
        </w:tc>
        <w:tc>
          <w:tcPr>
            <w:tcW w:w="98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3,764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3,184</w:t>
            </w:r>
          </w:p>
        </w:tc>
      </w:tr>
      <w:tr>
        <w:trPr/>
        <w:tc>
          <w:tcPr>
            <w:tcW w:w="41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01" w:type="dxa"/>
            <w:tcBorders/>
            <w:vAlign w:val="center"/>
          </w:tcPr>
          <w:p>
            <w:pPr>
              <w:pStyle w:val="TableContents"/>
              <w:bidi w:val="0"/>
              <w:spacing w:lineRule="auto" w:line="285" w:before="0" w:after="0"/>
              <w:ind w:left="0" w:right="0" w:hanging="0"/>
              <w:jc w:val="left"/>
              <w:rPr/>
            </w:pPr>
            <w:r>
              <w:rPr/>
              <w:t> </w:t>
            </w:r>
          </w:p>
        </w:tc>
        <w:tc>
          <w:tcPr>
            <w:tcW w:w="96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lineRule="auto" w:line="285" w:before="0" w:after="0"/>
              <w:ind w:left="0" w:right="0" w:hanging="0"/>
              <w:jc w:val="left"/>
              <w:rPr/>
            </w:pPr>
            <w:r>
              <w:rPr/>
              <w:t>​</w:t>
            </w:r>
          </w:p>
        </w:tc>
        <w:tc>
          <w:tcPr>
            <w:tcW w:w="301" w:type="dxa"/>
            <w:tcBorders/>
            <w:vAlign w:val="center"/>
          </w:tcPr>
          <w:p>
            <w:pPr>
              <w:pStyle w:val="TableContents"/>
              <w:bidi w:val="0"/>
              <w:spacing w:lineRule="auto" w:line="285" w:before="0" w:after="0"/>
              <w:ind w:left="0" w:right="0" w:hanging="0"/>
              <w:jc w:val="left"/>
              <w:rPr/>
            </w:pPr>
            <w:r>
              <w:rPr/>
              <w:t>​</w:t>
            </w:r>
          </w:p>
        </w:tc>
        <w:tc>
          <w:tcPr>
            <w:tcW w:w="96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286" w:type="dxa"/>
            <w:tcBorders/>
            <w:vAlign w:val="center"/>
          </w:tcPr>
          <w:p>
            <w:pPr>
              <w:pStyle w:val="TableContents"/>
              <w:bidi w:val="0"/>
              <w:spacing w:lineRule="auto" w:line="285" w:before="0" w:after="0"/>
              <w:ind w:left="0" w:right="0" w:hanging="0"/>
              <w:jc w:val="left"/>
              <w:rPr/>
            </w:pPr>
            <w:r>
              <w:rPr/>
              <w:t>​</w:t>
            </w:r>
          </w:p>
        </w:tc>
        <w:tc>
          <w:tcPr>
            <w:tcW w:w="281" w:type="dxa"/>
            <w:tcBorders/>
            <w:vAlign w:val="center"/>
          </w:tcPr>
          <w:p>
            <w:pPr>
              <w:pStyle w:val="TableContents"/>
              <w:bidi w:val="0"/>
              <w:spacing w:lineRule="auto" w:line="285" w:before="0" w:after="0"/>
              <w:ind w:left="0" w:right="0" w:hanging="0"/>
              <w:jc w:val="left"/>
              <w:rPr/>
            </w:pPr>
            <w:r>
              <w:rPr/>
              <w:t> </w:t>
            </w:r>
          </w:p>
        </w:tc>
        <w:tc>
          <w:tcPr>
            <w:tcW w:w="98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250</w:t>
            </w:r>
          </w:p>
        </w:tc>
        <w:tc>
          <w:tcPr>
            <w:tcW w:w="346" w:type="dxa"/>
            <w:tcBorders/>
            <w:vAlign w:val="center"/>
          </w:tcPr>
          <w:p>
            <w:pPr>
              <w:pStyle w:val="TableContents"/>
              <w:bidi w:val="0"/>
              <w:spacing w:lineRule="auto" w:line="285" w:before="0" w:after="0"/>
              <w:ind w:left="0" w:right="0" w:hanging="0"/>
              <w:jc w:val="left"/>
              <w:rPr/>
            </w:pPr>
            <w:r>
              <w:rPr/>
              <w:t>​</w:t>
            </w:r>
          </w:p>
        </w:tc>
        <w:tc>
          <w:tcPr>
            <w:tcW w:w="297" w:type="dxa"/>
            <w:tcBorders/>
            <w:vAlign w:val="center"/>
          </w:tcPr>
          <w:p>
            <w:pPr>
              <w:pStyle w:val="TableContents"/>
              <w:bidi w:val="0"/>
              <w:spacing w:lineRule="auto" w:line="285" w:before="0" w:after="0"/>
              <w:ind w:left="0" w:right="0" w:hanging="0"/>
              <w:jc w:val="left"/>
              <w:rPr/>
            </w:pPr>
            <w:r>
              <w:rPr/>
              <w:t> </w:t>
            </w:r>
          </w:p>
        </w:tc>
        <w:tc>
          <w:tcPr>
            <w:tcW w:w="1022"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307</w:t>
            </w:r>
          </w:p>
        </w:tc>
      </w:tr>
      <w:tr>
        <w:trPr/>
        <w:tc>
          <w:tcPr>
            <w:tcW w:w="41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01" w:type="dxa"/>
            <w:tcBorders/>
            <w:shd w:fill="CCEEFF" w:val="clear"/>
            <w:vAlign w:val="center"/>
          </w:tcPr>
          <w:p>
            <w:pPr>
              <w:pStyle w:val="TableContents"/>
              <w:bidi w:val="0"/>
              <w:spacing w:lineRule="auto" w:line="285" w:before="0" w:after="0"/>
              <w:ind w:left="0" w:right="0" w:hanging="0"/>
              <w:jc w:val="left"/>
              <w:rPr/>
            </w:pPr>
            <w:r>
              <w:rPr/>
              <w:t>​</w:t>
            </w:r>
          </w:p>
        </w:tc>
        <w:tc>
          <w:tcPr>
            <w:tcW w:w="96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6,106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1" w:type="dxa"/>
            <w:tcBorders/>
            <w:shd w:fill="CCEEFF" w:val="clear"/>
            <w:vAlign w:val="center"/>
          </w:tcPr>
          <w:p>
            <w:pPr>
              <w:pStyle w:val="TableContents"/>
              <w:bidi w:val="0"/>
              <w:spacing w:lineRule="auto" w:line="285" w:before="0" w:after="0"/>
              <w:ind w:left="0" w:right="0" w:hanging="0"/>
              <w:jc w:val="left"/>
              <w:rPr/>
            </w:pPr>
            <w:r>
              <w:rPr/>
              <w:t>​</w:t>
            </w:r>
          </w:p>
        </w:tc>
        <w:tc>
          <w:tcPr>
            <w:tcW w:w="96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3,944</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shd w:fill="CCEEFF" w:val="clear"/>
            <w:vAlign w:val="center"/>
          </w:tcPr>
          <w:p>
            <w:pPr>
              <w:pStyle w:val="TableContents"/>
              <w:bidi w:val="0"/>
              <w:spacing w:lineRule="auto" w:line="285" w:before="0" w:after="0"/>
              <w:ind w:left="0" w:right="0" w:hanging="0"/>
              <w:jc w:val="left"/>
              <w:rPr/>
            </w:pPr>
            <w:r>
              <w:rPr/>
              <w:t>​</w:t>
            </w:r>
          </w:p>
        </w:tc>
        <w:tc>
          <w:tcPr>
            <w:tcW w:w="98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18,616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18,426</w:t>
            </w:r>
          </w:p>
        </w:tc>
      </w:tr>
      <w:tr>
        <w:trPr/>
        <w:tc>
          <w:tcPr>
            <w:tcW w:w="41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6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8,903</w:t>
            </w:r>
          </w:p>
        </w:tc>
        <w:tc>
          <w:tcPr>
            <w:tcW w:w="346" w:type="dxa"/>
            <w:tcBorders/>
            <w:vAlign w:val="center"/>
          </w:tcPr>
          <w:p>
            <w:pPr>
              <w:pStyle w:val="TableContents"/>
              <w:bidi w:val="0"/>
              <w:spacing w:lineRule="auto" w:line="285"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6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4,196</w:t>
            </w:r>
          </w:p>
        </w:tc>
        <w:tc>
          <w:tcPr>
            <w:tcW w:w="286" w:type="dxa"/>
            <w:tcBorders/>
            <w:vAlign w:val="center"/>
          </w:tcPr>
          <w:p>
            <w:pPr>
              <w:pStyle w:val="TableContents"/>
              <w:bidi w:val="0"/>
              <w:spacing w:lineRule="auto" w:line="285"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8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28,756</w:t>
            </w:r>
          </w:p>
        </w:tc>
        <w:tc>
          <w:tcPr>
            <w:tcW w:w="346" w:type="dxa"/>
            <w:tcBorders/>
            <w:vAlign w:val="center"/>
          </w:tcPr>
          <w:p>
            <w:pPr>
              <w:pStyle w:val="TableContents"/>
              <w:bidi w:val="0"/>
              <w:spacing w:lineRule="auto" w:line="285"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23,053</w:t>
            </w:r>
          </w:p>
        </w:tc>
      </w:tr>
      <w:tr>
        <w:trPr/>
        <w:tc>
          <w:tcPr>
            <w:tcW w:w="4101" w:type="dxa"/>
            <w:tcBorders/>
            <w:shd w:fill="CCEEFF" w:val="clear"/>
            <w:vAlign w:val="center"/>
          </w:tcPr>
          <w:p>
            <w:pPr>
              <w:pStyle w:val="TableContents"/>
              <w:bidi w:val="0"/>
              <w:spacing w:lineRule="auto" w:line="285" w:before="0" w:after="0"/>
              <w:ind w:left="0" w:right="0" w:hanging="0"/>
              <w:jc w:val="left"/>
              <w:rPr/>
            </w:pPr>
            <w:r>
              <w:rPr/>
              <w:t>​</w:t>
            </w:r>
          </w:p>
        </w:tc>
        <w:tc>
          <w:tcPr>
            <w:tcW w:w="301" w:type="dxa"/>
            <w:tcBorders/>
            <w:shd w:fill="CCEEFF" w:val="clear"/>
            <w:vAlign w:val="center"/>
          </w:tcPr>
          <w:p>
            <w:pPr>
              <w:pStyle w:val="TableContents"/>
              <w:bidi w:val="0"/>
              <w:spacing w:lineRule="auto" w:line="285" w:before="0" w:after="0"/>
              <w:ind w:left="0" w:right="0" w:hanging="0"/>
              <w:jc w:val="left"/>
              <w:rPr/>
            </w:pPr>
            <w:r>
              <w:rPr/>
              <w:t> </w:t>
            </w:r>
          </w:p>
        </w:tc>
        <w:tc>
          <w:tcPr>
            <w:tcW w:w="968" w:type="dxa"/>
            <w:tcBorders/>
            <w:shd w:fill="CCEEFF" w:val="clear"/>
            <w:vAlign w:val="center"/>
          </w:tcPr>
          <w:p>
            <w:pPr>
              <w:pStyle w:val="TableContents"/>
              <w:bidi w:val="0"/>
              <w:spacing w:lineRule="auto" w:line="285" w:before="0" w:after="0"/>
              <w:ind w:left="0" w:right="0" w:hanging="0"/>
              <w:jc w:val="center"/>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1" w:type="dxa"/>
            <w:tcBorders/>
            <w:shd w:fill="CCEEFF" w:val="clear"/>
            <w:vAlign w:val="center"/>
          </w:tcPr>
          <w:p>
            <w:pPr>
              <w:pStyle w:val="TableContents"/>
              <w:bidi w:val="0"/>
              <w:spacing w:lineRule="auto" w:line="285" w:before="0" w:after="0"/>
              <w:ind w:left="0" w:right="0" w:hanging="0"/>
              <w:jc w:val="left"/>
              <w:rPr/>
            </w:pPr>
            <w:r>
              <w:rPr/>
              <w:t> </w:t>
            </w:r>
          </w:p>
        </w:tc>
        <w:tc>
          <w:tcPr>
            <w:tcW w:w="968" w:type="dxa"/>
            <w:tcBorders/>
            <w:shd w:fill="CCEEFF" w:val="clear"/>
            <w:vAlign w:val="center"/>
          </w:tcPr>
          <w:p>
            <w:pPr>
              <w:pStyle w:val="TableContents"/>
              <w:bidi w:val="0"/>
              <w:spacing w:lineRule="auto" w:line="285" w:before="0" w:after="0"/>
              <w:ind w:left="0" w:right="0" w:hanging="0"/>
              <w:jc w:val="center"/>
              <w:rPr/>
            </w:pPr>
            <w:r>
              <w:rPr/>
              <w:t>  ​</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shd w:fill="CCEEFF" w:val="clear"/>
            <w:vAlign w:val="center"/>
          </w:tcPr>
          <w:p>
            <w:pPr>
              <w:pStyle w:val="TableContents"/>
              <w:bidi w:val="0"/>
              <w:spacing w:lineRule="auto" w:line="285" w:before="0" w:after="0"/>
              <w:ind w:left="0" w:right="0" w:hanging="0"/>
              <w:jc w:val="left"/>
              <w:rPr/>
            </w:pPr>
            <w:r>
              <w:rPr/>
              <w:t> </w:t>
            </w:r>
          </w:p>
        </w:tc>
        <w:tc>
          <w:tcPr>
            <w:tcW w:w="988"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shd w:fill="CCEEFF" w:val="clear"/>
            <w:vAlign w:val="center"/>
          </w:tcPr>
          <w:p>
            <w:pPr>
              <w:pStyle w:val="TableContents"/>
              <w:bidi w:val="0"/>
              <w:spacing w:lineRule="auto" w:line="285" w:before="0" w:after="0"/>
              <w:ind w:left="0" w:right="0" w:hanging="0"/>
              <w:jc w:val="left"/>
              <w:rPr/>
            </w:pPr>
            <w:r>
              <w:rPr/>
              <w:t> </w:t>
            </w:r>
          </w:p>
        </w:tc>
        <w:tc>
          <w:tcPr>
            <w:tcW w:w="1022" w:type="dxa"/>
            <w:tcBorders/>
            <w:shd w:fill="CCEEFF" w:val="clear"/>
            <w:vAlign w:val="center"/>
          </w:tcPr>
          <w:p>
            <w:pPr>
              <w:pStyle w:val="TableContents"/>
              <w:bidi w:val="0"/>
              <w:spacing w:lineRule="auto" w:line="285" w:before="0" w:after="0"/>
              <w:ind w:left="0" w:right="0" w:hanging="0"/>
              <w:jc w:val="center"/>
              <w:rPr/>
            </w:pPr>
            <w:r>
              <w:rPr/>
              <w:t>  ​</w:t>
            </w:r>
          </w:p>
        </w:tc>
      </w:tr>
      <w:tr>
        <w:trPr/>
        <w:tc>
          <w:tcPr>
            <w:tcW w:w="410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6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16,793</w:t>
            </w:r>
          </w:p>
        </w:tc>
        <w:tc>
          <w:tcPr>
            <w:tcW w:w="346" w:type="dxa"/>
            <w:tcBorders/>
            <w:vAlign w:val="center"/>
          </w:tcPr>
          <w:p>
            <w:pPr>
              <w:pStyle w:val="TableContents"/>
              <w:bidi w:val="0"/>
              <w:spacing w:lineRule="auto" w:line="285"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6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8,859</w:t>
            </w:r>
          </w:p>
        </w:tc>
        <w:tc>
          <w:tcPr>
            <w:tcW w:w="286" w:type="dxa"/>
            <w:tcBorders/>
            <w:vAlign w:val="center"/>
          </w:tcPr>
          <w:p>
            <w:pPr>
              <w:pStyle w:val="TableContents"/>
              <w:bidi w:val="0"/>
              <w:spacing w:lineRule="auto" w:line="285"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8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51,386</w:t>
            </w:r>
          </w:p>
        </w:tc>
        <w:tc>
          <w:tcPr>
            <w:tcW w:w="346" w:type="dxa"/>
            <w:tcBorders/>
            <w:vAlign w:val="center"/>
          </w:tcPr>
          <w:p>
            <w:pPr>
              <w:pStyle w:val="TableContents"/>
              <w:bidi w:val="0"/>
              <w:spacing w:lineRule="auto" w:line="285"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44,970</w:t>
            </w:r>
          </w:p>
        </w:tc>
      </w:tr>
      <w:tr>
        <w:trPr/>
        <w:tc>
          <w:tcPr>
            <w:tcW w:w="41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6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(3,016)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6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(934)</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8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(6,744)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2,568</w:t>
            </w:r>
          </w:p>
        </w:tc>
      </w:tr>
      <w:tr>
        <w:trPr/>
        <w:tc>
          <w:tcPr>
            <w:tcW w:w="4101" w:type="dxa"/>
            <w:tcBorders/>
            <w:vAlign w:val="center"/>
          </w:tcPr>
          <w:p>
            <w:pPr>
              <w:pStyle w:val="TableContents"/>
              <w:bidi w:val="0"/>
              <w:spacing w:lineRule="auto" w:line="285" w:before="0" w:after="0"/>
              <w:ind w:left="0" w:right="0" w:hanging="0"/>
              <w:jc w:val="left"/>
              <w:rPr/>
            </w:pPr>
            <w:r>
              <w:rPr/>
              <w:t>​</w:t>
            </w:r>
          </w:p>
        </w:tc>
        <w:tc>
          <w:tcPr>
            <w:tcW w:w="301" w:type="dxa"/>
            <w:tcBorders/>
            <w:vAlign w:val="center"/>
          </w:tcPr>
          <w:p>
            <w:pPr>
              <w:pStyle w:val="TableContents"/>
              <w:bidi w:val="0"/>
              <w:spacing w:lineRule="auto" w:line="285" w:before="0" w:after="0"/>
              <w:ind w:left="0" w:right="0" w:hanging="0"/>
              <w:jc w:val="left"/>
              <w:rPr/>
            </w:pPr>
            <w:r>
              <w:rPr/>
              <w:t> </w:t>
            </w:r>
          </w:p>
        </w:tc>
        <w:tc>
          <w:tcPr>
            <w:tcW w:w="968" w:type="dxa"/>
            <w:tcBorders/>
            <w:vAlign w:val="center"/>
          </w:tcPr>
          <w:p>
            <w:pPr>
              <w:pStyle w:val="TableContents"/>
              <w:bidi w:val="0"/>
              <w:spacing w:lineRule="auto" w:line="285" w:before="0" w:after="0"/>
              <w:ind w:left="0" w:right="0" w:hanging="0"/>
              <w:jc w:val="center"/>
              <w:rPr/>
            </w:pPr>
            <w:r>
              <w:rPr/>
              <w:t>  ​</w:t>
            </w:r>
          </w:p>
        </w:tc>
        <w:tc>
          <w:tcPr>
            <w:tcW w:w="346" w:type="dxa"/>
            <w:tcBorders/>
            <w:vAlign w:val="center"/>
          </w:tcPr>
          <w:p>
            <w:pPr>
              <w:pStyle w:val="TableContents"/>
              <w:bidi w:val="0"/>
              <w:spacing w:lineRule="auto" w:line="285" w:before="0" w:after="0"/>
              <w:ind w:left="0" w:right="0" w:hanging="0"/>
              <w:jc w:val="left"/>
              <w:rPr/>
            </w:pPr>
            <w:r>
              <w:rPr/>
              <w:t>​</w:t>
            </w:r>
          </w:p>
        </w:tc>
        <w:tc>
          <w:tcPr>
            <w:tcW w:w="301" w:type="dxa"/>
            <w:tcBorders/>
            <w:vAlign w:val="center"/>
          </w:tcPr>
          <w:p>
            <w:pPr>
              <w:pStyle w:val="TableContents"/>
              <w:bidi w:val="0"/>
              <w:spacing w:lineRule="auto" w:line="285" w:before="0" w:after="0"/>
              <w:ind w:left="0" w:right="0" w:hanging="0"/>
              <w:jc w:val="left"/>
              <w:rPr/>
            </w:pPr>
            <w:r>
              <w:rPr/>
              <w:t> </w:t>
            </w:r>
          </w:p>
        </w:tc>
        <w:tc>
          <w:tcPr>
            <w:tcW w:w="968" w:type="dxa"/>
            <w:tcBorders/>
            <w:vAlign w:val="center"/>
          </w:tcPr>
          <w:p>
            <w:pPr>
              <w:pStyle w:val="TableContents"/>
              <w:bidi w:val="0"/>
              <w:spacing w:lineRule="auto" w:line="285" w:before="0" w:after="0"/>
              <w:ind w:left="0" w:right="0" w:hanging="0"/>
              <w:jc w:val="center"/>
              <w:rPr/>
            </w:pPr>
            <w:r>
              <w:rPr/>
              <w:t>  ​</w:t>
            </w:r>
          </w:p>
        </w:tc>
        <w:tc>
          <w:tcPr>
            <w:tcW w:w="286" w:type="dxa"/>
            <w:tcBorders/>
            <w:vAlign w:val="center"/>
          </w:tcPr>
          <w:p>
            <w:pPr>
              <w:pStyle w:val="TableContents"/>
              <w:bidi w:val="0"/>
              <w:spacing w:lineRule="auto" w:line="285" w:before="0" w:after="0"/>
              <w:ind w:left="0" w:right="0" w:hanging="0"/>
              <w:jc w:val="left"/>
              <w:rPr/>
            </w:pPr>
            <w:r>
              <w:rPr/>
              <w:t>​</w:t>
            </w:r>
          </w:p>
        </w:tc>
        <w:tc>
          <w:tcPr>
            <w:tcW w:w="281" w:type="dxa"/>
            <w:tcBorders/>
            <w:vAlign w:val="center"/>
          </w:tcPr>
          <w:p>
            <w:pPr>
              <w:pStyle w:val="TableContents"/>
              <w:bidi w:val="0"/>
              <w:spacing w:lineRule="auto" w:line="285" w:before="0" w:after="0"/>
              <w:ind w:left="0" w:right="0" w:hanging="0"/>
              <w:jc w:val="left"/>
              <w:rPr/>
            </w:pPr>
            <w:r>
              <w:rPr/>
              <w:t> </w:t>
            </w:r>
          </w:p>
        </w:tc>
        <w:tc>
          <w:tcPr>
            <w:tcW w:w="988" w:type="dxa"/>
            <w:tcBorders/>
            <w:vAlign w:val="center"/>
          </w:tcPr>
          <w:p>
            <w:pPr>
              <w:pStyle w:val="TableContents"/>
              <w:bidi w:val="0"/>
              <w:spacing w:lineRule="auto" w:line="285" w:before="0" w:after="0"/>
              <w:ind w:left="0" w:right="0" w:hanging="0"/>
              <w:jc w:val="center"/>
              <w:rPr/>
            </w:pPr>
            <w:r>
              <w:rPr/>
              <w:t>  ​</w:t>
            </w:r>
          </w:p>
        </w:tc>
        <w:tc>
          <w:tcPr>
            <w:tcW w:w="346" w:type="dxa"/>
            <w:tcBorders/>
            <w:vAlign w:val="center"/>
          </w:tcPr>
          <w:p>
            <w:pPr>
              <w:pStyle w:val="TableContents"/>
              <w:bidi w:val="0"/>
              <w:spacing w:lineRule="auto" w:line="285" w:before="0" w:after="0"/>
              <w:ind w:left="0" w:right="0" w:hanging="0"/>
              <w:jc w:val="left"/>
              <w:rPr/>
            </w:pPr>
            <w:r>
              <w:rPr/>
              <w:t>​</w:t>
            </w:r>
          </w:p>
        </w:tc>
        <w:tc>
          <w:tcPr>
            <w:tcW w:w="297" w:type="dxa"/>
            <w:tcBorders/>
            <w:vAlign w:val="center"/>
          </w:tcPr>
          <w:p>
            <w:pPr>
              <w:pStyle w:val="TableContents"/>
              <w:bidi w:val="0"/>
              <w:spacing w:lineRule="auto" w:line="285" w:before="0" w:after="0"/>
              <w:ind w:left="0" w:right="0" w:hanging="0"/>
              <w:jc w:val="left"/>
              <w:rPr/>
            </w:pPr>
            <w:r>
              <w:rPr/>
              <w:t> </w:t>
            </w:r>
          </w:p>
        </w:tc>
        <w:tc>
          <w:tcPr>
            <w:tcW w:w="1022" w:type="dxa"/>
            <w:tcBorders/>
            <w:vAlign w:val="center"/>
          </w:tcPr>
          <w:p>
            <w:pPr>
              <w:pStyle w:val="TableContents"/>
              <w:bidi w:val="0"/>
              <w:spacing w:lineRule="auto" w:line="285" w:before="0" w:after="0"/>
              <w:ind w:left="0" w:right="0" w:hanging="0"/>
              <w:jc w:val="center"/>
              <w:rPr/>
            </w:pPr>
            <w:r>
              <w:rPr/>
              <w:t>  ​</w:t>
            </w:r>
          </w:p>
        </w:tc>
      </w:tr>
      <w:tr>
        <w:trPr/>
        <w:tc>
          <w:tcPr>
            <w:tcW w:w="41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Other (expense)/income</w:t>
            </w:r>
          </w:p>
        </w:tc>
        <w:tc>
          <w:tcPr>
            <w:tcW w:w="301" w:type="dxa"/>
            <w:tcBorders/>
            <w:shd w:fill="CCEEFF" w:val="clear"/>
            <w:vAlign w:val="center"/>
          </w:tcPr>
          <w:p>
            <w:pPr>
              <w:pStyle w:val="TableContents"/>
              <w:bidi w:val="0"/>
              <w:spacing w:lineRule="auto" w:line="285" w:before="0" w:after="0"/>
              <w:ind w:left="0" w:right="0" w:hanging="0"/>
              <w:jc w:val="left"/>
              <w:rPr/>
            </w:pPr>
            <w:r>
              <w:rPr/>
              <w:t> </w:t>
            </w:r>
          </w:p>
        </w:tc>
        <w:tc>
          <w:tcPr>
            <w:tcW w:w="968" w:type="dxa"/>
            <w:tcBorders/>
            <w:shd w:fill="CCEEFF" w:val="clear"/>
            <w:vAlign w:val="center"/>
          </w:tcPr>
          <w:p>
            <w:pPr>
              <w:pStyle w:val="TableContents"/>
              <w:bidi w:val="0"/>
              <w:spacing w:lineRule="auto" w:line="285" w:before="0" w:after="0"/>
              <w:ind w:left="0" w:right="0" w:hanging="0"/>
              <w:jc w:val="center"/>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1" w:type="dxa"/>
            <w:tcBorders/>
            <w:shd w:fill="CCEEFF" w:val="clear"/>
            <w:vAlign w:val="center"/>
          </w:tcPr>
          <w:p>
            <w:pPr>
              <w:pStyle w:val="TableContents"/>
              <w:bidi w:val="0"/>
              <w:spacing w:lineRule="auto" w:line="285" w:before="0" w:after="0"/>
              <w:ind w:left="0" w:right="0" w:hanging="0"/>
              <w:jc w:val="left"/>
              <w:rPr/>
            </w:pPr>
            <w:r>
              <w:rPr/>
              <w:t> </w:t>
            </w:r>
          </w:p>
        </w:tc>
        <w:tc>
          <w:tcPr>
            <w:tcW w:w="968" w:type="dxa"/>
            <w:tcBorders/>
            <w:shd w:fill="CCEEFF" w:val="clear"/>
            <w:vAlign w:val="center"/>
          </w:tcPr>
          <w:p>
            <w:pPr>
              <w:pStyle w:val="TableContents"/>
              <w:bidi w:val="0"/>
              <w:spacing w:lineRule="auto" w:line="285" w:before="0" w:after="0"/>
              <w:ind w:left="0" w:right="0" w:hanging="0"/>
              <w:jc w:val="center"/>
              <w:rPr/>
            </w:pPr>
            <w:r>
              <w:rPr/>
              <w:t>  ​</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shd w:fill="CCEEFF" w:val="clear"/>
            <w:vAlign w:val="center"/>
          </w:tcPr>
          <w:p>
            <w:pPr>
              <w:pStyle w:val="TableContents"/>
              <w:bidi w:val="0"/>
              <w:spacing w:lineRule="auto" w:line="285" w:before="0" w:after="0"/>
              <w:ind w:left="0" w:right="0" w:hanging="0"/>
              <w:jc w:val="left"/>
              <w:rPr/>
            </w:pPr>
            <w:r>
              <w:rPr/>
              <w:t> </w:t>
            </w:r>
          </w:p>
        </w:tc>
        <w:tc>
          <w:tcPr>
            <w:tcW w:w="988" w:type="dxa"/>
            <w:tcBorders/>
            <w:shd w:fill="CCEEFF" w:val="clear"/>
            <w:vAlign w:val="center"/>
          </w:tcPr>
          <w:p>
            <w:pPr>
              <w:pStyle w:val="TableContents"/>
              <w:bidi w:val="0"/>
              <w:spacing w:lineRule="auto" w:line="285" w:before="0" w:after="0"/>
              <w:ind w:left="0" w:right="0" w:hanging="0"/>
              <w:jc w:val="center"/>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shd w:fill="CCEEFF" w:val="clear"/>
            <w:vAlign w:val="center"/>
          </w:tcPr>
          <w:p>
            <w:pPr>
              <w:pStyle w:val="TableContents"/>
              <w:bidi w:val="0"/>
              <w:spacing w:lineRule="auto" w:line="285" w:before="0" w:after="0"/>
              <w:ind w:left="0" w:right="0" w:hanging="0"/>
              <w:jc w:val="left"/>
              <w:rPr/>
            </w:pPr>
            <w:r>
              <w:rPr/>
              <w:t> </w:t>
            </w:r>
          </w:p>
        </w:tc>
        <w:tc>
          <w:tcPr>
            <w:tcW w:w="1022" w:type="dxa"/>
            <w:tcBorders/>
            <w:shd w:fill="CCEEFF" w:val="clear"/>
            <w:vAlign w:val="center"/>
          </w:tcPr>
          <w:p>
            <w:pPr>
              <w:pStyle w:val="TableContents"/>
              <w:bidi w:val="0"/>
              <w:spacing w:lineRule="auto" w:line="285" w:before="0" w:after="0"/>
              <w:ind w:left="0" w:right="0" w:hanging="0"/>
              <w:jc w:val="center"/>
              <w:rPr/>
            </w:pPr>
            <w:r>
              <w:rPr/>
              <w:t>  ​</w:t>
            </w:r>
          </w:p>
        </w:tc>
      </w:tr>
      <w:tr>
        <w:trPr/>
        <w:tc>
          <w:tcPr>
            <w:tcW w:w="41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Realized foreign exchange (loss)/gain</w:t>
            </w:r>
          </w:p>
        </w:tc>
        <w:tc>
          <w:tcPr>
            <w:tcW w:w="301" w:type="dxa"/>
            <w:tcBorders/>
            <w:vAlign w:val="center"/>
          </w:tcPr>
          <w:p>
            <w:pPr>
              <w:pStyle w:val="TableContents"/>
              <w:bidi w:val="0"/>
              <w:spacing w:lineRule="auto" w:line="285" w:before="0" w:after="0"/>
              <w:ind w:left="0" w:right="0" w:hanging="0"/>
              <w:jc w:val="left"/>
              <w:rPr/>
            </w:pPr>
            <w:r>
              <w:rPr/>
              <w:t>​</w:t>
            </w:r>
          </w:p>
        </w:tc>
        <w:tc>
          <w:tcPr>
            <w:tcW w:w="96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lineRule="auto" w:line="285" w:before="0" w:after="0"/>
              <w:ind w:left="0" w:right="0" w:hanging="0"/>
              <w:jc w:val="left"/>
              <w:rPr/>
            </w:pPr>
            <w:r>
              <w:rPr/>
              <w:t>​</w:t>
            </w:r>
          </w:p>
        </w:tc>
        <w:tc>
          <w:tcPr>
            <w:tcW w:w="301" w:type="dxa"/>
            <w:tcBorders/>
            <w:vAlign w:val="center"/>
          </w:tcPr>
          <w:p>
            <w:pPr>
              <w:pStyle w:val="TableContents"/>
              <w:bidi w:val="0"/>
              <w:spacing w:lineRule="auto" w:line="285" w:before="0" w:after="0"/>
              <w:ind w:left="0" w:right="0" w:hanging="0"/>
              <w:jc w:val="left"/>
              <w:rPr/>
            </w:pPr>
            <w:r>
              <w:rPr/>
              <w:t>​</w:t>
            </w:r>
          </w:p>
        </w:tc>
        <w:tc>
          <w:tcPr>
            <w:tcW w:w="96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(27)</w:t>
            </w:r>
          </w:p>
        </w:tc>
        <w:tc>
          <w:tcPr>
            <w:tcW w:w="286" w:type="dxa"/>
            <w:tcBorders/>
            <w:vAlign w:val="center"/>
          </w:tcPr>
          <w:p>
            <w:pPr>
              <w:pStyle w:val="TableContents"/>
              <w:bidi w:val="0"/>
              <w:spacing w:lineRule="auto" w:line="285" w:before="0" w:after="0"/>
              <w:ind w:left="0" w:right="0" w:hanging="0"/>
              <w:jc w:val="left"/>
              <w:rPr/>
            </w:pPr>
            <w:r>
              <w:rPr/>
              <w:t>​</w:t>
            </w:r>
          </w:p>
        </w:tc>
        <w:tc>
          <w:tcPr>
            <w:tcW w:w="281" w:type="dxa"/>
            <w:tcBorders/>
            <w:vAlign w:val="center"/>
          </w:tcPr>
          <w:p>
            <w:pPr>
              <w:pStyle w:val="TableContents"/>
              <w:bidi w:val="0"/>
              <w:spacing w:lineRule="auto" w:line="285" w:before="0" w:after="0"/>
              <w:ind w:left="0" w:right="0" w:hanging="0"/>
              <w:jc w:val="left"/>
              <w:rPr/>
            </w:pPr>
            <w:r>
              <w:rPr/>
              <w:t>​</w:t>
            </w:r>
          </w:p>
        </w:tc>
        <w:tc>
          <w:tcPr>
            <w:tcW w:w="98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28</w:t>
            </w:r>
          </w:p>
        </w:tc>
        <w:tc>
          <w:tcPr>
            <w:tcW w:w="346" w:type="dxa"/>
            <w:tcBorders/>
            <w:vAlign w:val="center"/>
          </w:tcPr>
          <w:p>
            <w:pPr>
              <w:pStyle w:val="TableContents"/>
              <w:bidi w:val="0"/>
              <w:spacing w:lineRule="auto" w:line="285" w:before="0" w:after="0"/>
              <w:ind w:left="0" w:right="0" w:hanging="0"/>
              <w:jc w:val="left"/>
              <w:rPr/>
            </w:pPr>
            <w:r>
              <w:rPr/>
              <w:t>​</w:t>
            </w:r>
          </w:p>
        </w:tc>
        <w:tc>
          <w:tcPr>
            <w:tcW w:w="297"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(82)</w:t>
            </w:r>
          </w:p>
        </w:tc>
      </w:tr>
      <w:tr>
        <w:trPr/>
        <w:tc>
          <w:tcPr>
            <w:tcW w:w="41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01" w:type="dxa"/>
            <w:tcBorders/>
            <w:shd w:fill="CCEEFF" w:val="clear"/>
            <w:vAlign w:val="center"/>
          </w:tcPr>
          <w:p>
            <w:pPr>
              <w:pStyle w:val="TableContents"/>
              <w:bidi w:val="0"/>
              <w:spacing w:lineRule="auto" w:line="285" w:before="0" w:after="0"/>
              <w:ind w:left="0" w:right="0" w:hanging="0"/>
              <w:jc w:val="left"/>
              <w:rPr/>
            </w:pPr>
            <w:r>
              <w:rPr/>
              <w:t>​</w:t>
            </w:r>
          </w:p>
        </w:tc>
        <w:tc>
          <w:tcPr>
            <w:tcW w:w="96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1" w:type="dxa"/>
            <w:tcBorders/>
            <w:shd w:fill="CCEEFF" w:val="clear"/>
            <w:vAlign w:val="center"/>
          </w:tcPr>
          <w:p>
            <w:pPr>
              <w:pStyle w:val="TableContents"/>
              <w:bidi w:val="0"/>
              <w:spacing w:lineRule="auto" w:line="285" w:before="0" w:after="0"/>
              <w:ind w:left="0" w:right="0" w:hanging="0"/>
              <w:jc w:val="left"/>
              <w:rPr/>
            </w:pPr>
            <w:r>
              <w:rPr/>
              <w:t>​</w:t>
            </w:r>
          </w:p>
        </w:tc>
        <w:tc>
          <w:tcPr>
            <w:tcW w:w="96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shd w:fill="CCEEFF" w:val="clear"/>
            <w:vAlign w:val="center"/>
          </w:tcPr>
          <w:p>
            <w:pPr>
              <w:pStyle w:val="TableContents"/>
              <w:bidi w:val="0"/>
              <w:spacing w:lineRule="auto" w:line="285" w:before="0" w:after="0"/>
              <w:ind w:left="0" w:right="0" w:hanging="0"/>
              <w:jc w:val="left"/>
              <w:rPr/>
            </w:pPr>
            <w:r>
              <w:rPr/>
              <w:t>​</w:t>
            </w:r>
          </w:p>
        </w:tc>
        <w:tc>
          <w:tcPr>
            <w:tcW w:w="98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(65)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(89)</w:t>
            </w:r>
          </w:p>
        </w:tc>
      </w:tr>
      <w:tr>
        <w:trPr/>
        <w:tc>
          <w:tcPr>
            <w:tcW w:w="41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Unrealized loss on securities</w:t>
            </w:r>
          </w:p>
        </w:tc>
        <w:tc>
          <w:tcPr>
            <w:tcW w:w="301" w:type="dxa"/>
            <w:tcBorders/>
            <w:vAlign w:val="center"/>
          </w:tcPr>
          <w:p>
            <w:pPr>
              <w:pStyle w:val="TableContents"/>
              <w:bidi w:val="0"/>
              <w:spacing w:lineRule="auto" w:line="285" w:before="0" w:after="0"/>
              <w:ind w:left="0" w:right="0" w:hanging="0"/>
              <w:jc w:val="left"/>
              <w:rPr/>
            </w:pPr>
            <w:r>
              <w:rPr/>
              <w:t> </w:t>
            </w:r>
          </w:p>
        </w:tc>
        <w:tc>
          <w:tcPr>
            <w:tcW w:w="968"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01" w:type="dxa"/>
            <w:tcBorders/>
            <w:vAlign w:val="center"/>
          </w:tcPr>
          <w:p>
            <w:pPr>
              <w:pStyle w:val="TableContents"/>
              <w:bidi w:val="0"/>
              <w:spacing w:lineRule="auto" w:line="285" w:before="0" w:after="0"/>
              <w:ind w:left="0" w:right="0" w:hanging="0"/>
              <w:jc w:val="left"/>
              <w:rPr/>
            </w:pPr>
            <w:r>
              <w:rPr/>
              <w:t>​</w:t>
            </w:r>
          </w:p>
        </w:tc>
        <w:tc>
          <w:tcPr>
            <w:tcW w:w="96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(66)</w:t>
            </w:r>
          </w:p>
        </w:tc>
        <w:tc>
          <w:tcPr>
            <w:tcW w:w="286" w:type="dxa"/>
            <w:tcBorders/>
            <w:vAlign w:val="center"/>
          </w:tcPr>
          <w:p>
            <w:pPr>
              <w:pStyle w:val="TableContents"/>
              <w:bidi w:val="0"/>
              <w:spacing w:lineRule="auto" w:line="285" w:before="0" w:after="0"/>
              <w:ind w:left="0" w:right="0" w:hanging="0"/>
              <w:jc w:val="left"/>
              <w:rPr/>
            </w:pPr>
            <w:r>
              <w:rPr/>
              <w:t>​</w:t>
            </w:r>
          </w:p>
        </w:tc>
        <w:tc>
          <w:tcPr>
            <w:tcW w:w="281" w:type="dxa"/>
            <w:tcBorders/>
            <w:vAlign w:val="center"/>
          </w:tcPr>
          <w:p>
            <w:pPr>
              <w:pStyle w:val="TableContents"/>
              <w:bidi w:val="0"/>
              <w:spacing w:lineRule="auto" w:line="285" w:before="0" w:after="0"/>
              <w:ind w:left="0" w:right="0" w:hanging="0"/>
              <w:jc w:val="left"/>
              <w:rPr/>
            </w:pPr>
            <w:r>
              <w:rPr/>
              <w:t> </w:t>
            </w:r>
          </w:p>
        </w:tc>
        <w:tc>
          <w:tcPr>
            <w:tcW w:w="98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lineRule="auto" w:line="285" w:before="0" w:after="0"/>
              <w:ind w:left="0" w:right="0" w:hanging="0"/>
              <w:jc w:val="left"/>
              <w:rPr/>
            </w:pPr>
            <w:r>
              <w:rPr/>
              <w:t>​</w:t>
            </w:r>
          </w:p>
        </w:tc>
        <w:tc>
          <w:tcPr>
            <w:tcW w:w="297"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(81)</w:t>
            </w:r>
          </w:p>
        </w:tc>
      </w:tr>
      <w:tr>
        <w:trPr/>
        <w:tc>
          <w:tcPr>
            <w:tcW w:w="41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on debt extinguishment</w:t>
            </w:r>
          </w:p>
        </w:tc>
        <w:tc>
          <w:tcPr>
            <w:tcW w:w="301" w:type="dxa"/>
            <w:tcBorders/>
            <w:shd w:fill="CCEEFF" w:val="clear"/>
            <w:vAlign w:val="center"/>
          </w:tcPr>
          <w:p>
            <w:pPr>
              <w:pStyle w:val="TableContents"/>
              <w:bidi w:val="0"/>
              <w:spacing w:lineRule="auto" w:line="285" w:before="0" w:after="0"/>
              <w:ind w:left="0" w:right="0" w:hanging="0"/>
              <w:jc w:val="left"/>
              <w:rPr/>
            </w:pPr>
            <w:r>
              <w:rPr/>
              <w:t>​</w:t>
            </w:r>
          </w:p>
        </w:tc>
        <w:tc>
          <w:tcPr>
            <w:tcW w:w="96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1" w:type="dxa"/>
            <w:tcBorders/>
            <w:shd w:fill="CCEEFF" w:val="clear"/>
            <w:vAlign w:val="center"/>
          </w:tcPr>
          <w:p>
            <w:pPr>
              <w:pStyle w:val="TableContents"/>
              <w:bidi w:val="0"/>
              <w:spacing w:lineRule="auto" w:line="285" w:before="0" w:after="0"/>
              <w:ind w:left="0" w:right="0" w:hanging="0"/>
              <w:jc w:val="left"/>
              <w:rPr/>
            </w:pPr>
            <w:r>
              <w:rPr/>
              <w:t>​</w:t>
            </w:r>
          </w:p>
        </w:tc>
        <w:tc>
          <w:tcPr>
            <w:tcW w:w="968" w:type="dxa"/>
            <w:tcBorders/>
            <w:shd w:fill="CCEEFF" w:val="clear"/>
            <w:vAlign w:val="center"/>
          </w:tcPr>
          <w:p>
            <w:pPr>
              <w:pStyle w:val="TableContents"/>
              <w:bidi w:val="0"/>
              <w:spacing w:lineRule="auto" w:line="285" w:before="0" w:after="0"/>
              <w:ind w:left="0" w:right="0" w:hanging="0"/>
              <w:jc w:val="center"/>
              <w:rPr/>
            </w:pPr>
            <w:r>
              <w:rPr/>
              <w:t>​</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shd w:fill="CCEEFF" w:val="clear"/>
            <w:vAlign w:val="center"/>
          </w:tcPr>
          <w:p>
            <w:pPr>
              <w:pStyle w:val="TableContents"/>
              <w:bidi w:val="0"/>
              <w:spacing w:lineRule="auto" w:line="285" w:before="0" w:after="0"/>
              <w:ind w:left="0" w:right="0" w:hanging="0"/>
              <w:jc w:val="left"/>
              <w:rPr/>
            </w:pPr>
            <w:r>
              <w:rPr/>
              <w:t>​</w:t>
            </w:r>
          </w:p>
        </w:tc>
        <w:tc>
          <w:tcPr>
            <w:tcW w:w="988"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center"/>
              <w:rPr/>
            </w:pPr>
            <w:r>
              <w:rPr/>
              <w:t>—</w:t>
            </w:r>
          </w:p>
        </w:tc>
      </w:tr>
      <w:tr>
        <w:trPr/>
        <w:tc>
          <w:tcPr>
            <w:tcW w:w="41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01" w:type="dxa"/>
            <w:tcBorders/>
            <w:vAlign w:val="center"/>
          </w:tcPr>
          <w:p>
            <w:pPr>
              <w:pStyle w:val="TableContents"/>
              <w:bidi w:val="0"/>
              <w:spacing w:lineRule="auto" w:line="285" w:before="0" w:after="0"/>
              <w:ind w:left="0" w:right="0" w:hanging="0"/>
              <w:jc w:val="left"/>
              <w:rPr/>
            </w:pPr>
            <w:r>
              <w:rPr/>
              <w:t> </w:t>
            </w:r>
          </w:p>
        </w:tc>
        <w:tc>
          <w:tcPr>
            <w:tcW w:w="96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228</w:t>
            </w:r>
          </w:p>
        </w:tc>
        <w:tc>
          <w:tcPr>
            <w:tcW w:w="346" w:type="dxa"/>
            <w:tcBorders/>
            <w:vAlign w:val="center"/>
          </w:tcPr>
          <w:p>
            <w:pPr>
              <w:pStyle w:val="TableContents"/>
              <w:bidi w:val="0"/>
              <w:spacing w:lineRule="auto" w:line="285" w:before="0" w:after="0"/>
              <w:ind w:left="0" w:right="0" w:hanging="0"/>
              <w:jc w:val="left"/>
              <w:rPr/>
            </w:pPr>
            <w:r>
              <w:rPr/>
              <w:t>​</w:t>
            </w:r>
          </w:p>
        </w:tc>
        <w:tc>
          <w:tcPr>
            <w:tcW w:w="301" w:type="dxa"/>
            <w:tcBorders/>
            <w:vAlign w:val="center"/>
          </w:tcPr>
          <w:p>
            <w:pPr>
              <w:pStyle w:val="TableContents"/>
              <w:bidi w:val="0"/>
              <w:spacing w:lineRule="auto" w:line="285" w:before="0" w:after="0"/>
              <w:ind w:left="0" w:right="0" w:hanging="0"/>
              <w:jc w:val="left"/>
              <w:rPr/>
            </w:pPr>
            <w:r>
              <w:rPr/>
              <w:t>​</w:t>
            </w:r>
          </w:p>
        </w:tc>
        <w:tc>
          <w:tcPr>
            <w:tcW w:w="96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399</w:t>
            </w:r>
          </w:p>
        </w:tc>
        <w:tc>
          <w:tcPr>
            <w:tcW w:w="286" w:type="dxa"/>
            <w:tcBorders/>
            <w:vAlign w:val="center"/>
          </w:tcPr>
          <w:p>
            <w:pPr>
              <w:pStyle w:val="TableContents"/>
              <w:bidi w:val="0"/>
              <w:spacing w:lineRule="auto" w:line="285" w:before="0" w:after="0"/>
              <w:ind w:left="0" w:right="0" w:hanging="0"/>
              <w:jc w:val="left"/>
              <w:rPr/>
            </w:pPr>
            <w:r>
              <w:rPr/>
              <w:t>​</w:t>
            </w:r>
          </w:p>
        </w:tc>
        <w:tc>
          <w:tcPr>
            <w:tcW w:w="281" w:type="dxa"/>
            <w:tcBorders/>
            <w:vAlign w:val="center"/>
          </w:tcPr>
          <w:p>
            <w:pPr>
              <w:pStyle w:val="TableContents"/>
              <w:bidi w:val="0"/>
              <w:spacing w:lineRule="auto" w:line="285" w:before="0" w:after="0"/>
              <w:ind w:left="0" w:right="0" w:hanging="0"/>
              <w:jc w:val="left"/>
              <w:rPr/>
            </w:pPr>
            <w:r>
              <w:rPr/>
              <w:t> </w:t>
            </w:r>
          </w:p>
        </w:tc>
        <w:tc>
          <w:tcPr>
            <w:tcW w:w="988"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787</w:t>
            </w:r>
          </w:p>
        </w:tc>
        <w:tc>
          <w:tcPr>
            <w:tcW w:w="346" w:type="dxa"/>
            <w:tcBorders/>
            <w:vAlign w:val="center"/>
          </w:tcPr>
          <w:p>
            <w:pPr>
              <w:pStyle w:val="TableContents"/>
              <w:bidi w:val="0"/>
              <w:spacing w:lineRule="auto" w:line="285" w:before="0" w:after="0"/>
              <w:ind w:left="0" w:right="0" w:hanging="0"/>
              <w:jc w:val="left"/>
              <w:rPr/>
            </w:pPr>
            <w:r>
              <w:rPr/>
              <w:t>​</w:t>
            </w:r>
          </w:p>
        </w:tc>
        <w:tc>
          <w:tcPr>
            <w:tcW w:w="297"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1,682</w:t>
            </w:r>
          </w:p>
        </w:tc>
      </w:tr>
      <w:tr>
        <w:trPr/>
        <w:tc>
          <w:tcPr>
            <w:tcW w:w="41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6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(308)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6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(966)</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8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(2,080)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(4,069)</w:t>
            </w:r>
          </w:p>
        </w:tc>
      </w:tr>
      <w:tr>
        <w:trPr/>
        <w:tc>
          <w:tcPr>
            <w:tcW w:w="41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(expense)/income</w:t>
            </w:r>
          </w:p>
        </w:tc>
        <w:tc>
          <w:tcPr>
            <w:tcW w:w="3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6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(2,128)</w:t>
            </w:r>
          </w:p>
        </w:tc>
        <w:tc>
          <w:tcPr>
            <w:tcW w:w="346" w:type="dxa"/>
            <w:tcBorders/>
            <w:vAlign w:val="center"/>
          </w:tcPr>
          <w:p>
            <w:pPr>
              <w:pStyle w:val="TableContents"/>
              <w:bidi w:val="0"/>
              <w:spacing w:lineRule="auto" w:line="285"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6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(685)</w:t>
            </w:r>
          </w:p>
        </w:tc>
        <w:tc>
          <w:tcPr>
            <w:tcW w:w="286" w:type="dxa"/>
            <w:tcBorders/>
            <w:vAlign w:val="center"/>
          </w:tcPr>
          <w:p>
            <w:pPr>
              <w:pStyle w:val="TableContents"/>
              <w:bidi w:val="0"/>
              <w:spacing w:lineRule="auto" w:line="285"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8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(3,354)</w:t>
            </w:r>
          </w:p>
        </w:tc>
        <w:tc>
          <w:tcPr>
            <w:tcW w:w="346" w:type="dxa"/>
            <w:tcBorders/>
            <w:vAlign w:val="center"/>
          </w:tcPr>
          <w:p>
            <w:pPr>
              <w:pStyle w:val="TableContents"/>
              <w:bidi w:val="0"/>
              <w:spacing w:lineRule="auto" w:line="285"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2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(2,639)</w:t>
            </w:r>
          </w:p>
        </w:tc>
      </w:tr>
      <w:tr>
        <w:trPr/>
        <w:tc>
          <w:tcPr>
            <w:tcW w:w="41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before income tax</w:t>
            </w:r>
          </w:p>
        </w:tc>
        <w:tc>
          <w:tcPr>
            <w:tcW w:w="301" w:type="dxa"/>
            <w:tcBorders/>
            <w:shd w:fill="CCEEFF" w:val="clear"/>
            <w:vAlign w:val="center"/>
          </w:tcPr>
          <w:p>
            <w:pPr>
              <w:pStyle w:val="TableContents"/>
              <w:bidi w:val="0"/>
              <w:spacing w:lineRule="auto" w:line="285" w:before="0" w:after="0"/>
              <w:ind w:left="0" w:right="0" w:hanging="0"/>
              <w:jc w:val="left"/>
              <w:rPr/>
            </w:pPr>
            <w:r>
              <w:rPr/>
              <w:t>​</w:t>
            </w:r>
          </w:p>
        </w:tc>
        <w:tc>
          <w:tcPr>
            <w:tcW w:w="96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(5,144)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1" w:type="dxa"/>
            <w:tcBorders/>
            <w:shd w:fill="CCEEFF" w:val="clear"/>
            <w:vAlign w:val="center"/>
          </w:tcPr>
          <w:p>
            <w:pPr>
              <w:pStyle w:val="TableContents"/>
              <w:bidi w:val="0"/>
              <w:spacing w:lineRule="auto" w:line="285" w:before="0" w:after="0"/>
              <w:ind w:left="0" w:right="0" w:hanging="0"/>
              <w:jc w:val="left"/>
              <w:rPr/>
            </w:pPr>
            <w:r>
              <w:rPr/>
              <w:t>​</w:t>
            </w:r>
          </w:p>
        </w:tc>
        <w:tc>
          <w:tcPr>
            <w:tcW w:w="96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(1,619)</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shd w:fill="CCEEFF" w:val="clear"/>
            <w:vAlign w:val="center"/>
          </w:tcPr>
          <w:p>
            <w:pPr>
              <w:pStyle w:val="TableContents"/>
              <w:bidi w:val="0"/>
              <w:spacing w:lineRule="auto" w:line="285" w:before="0" w:after="0"/>
              <w:ind w:left="0" w:right="0" w:hanging="0"/>
              <w:jc w:val="left"/>
              <w:rPr/>
            </w:pPr>
            <w:r>
              <w:rPr/>
              <w:t>​</w:t>
            </w:r>
          </w:p>
        </w:tc>
        <w:tc>
          <w:tcPr>
            <w:tcW w:w="98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(10,098)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shd w:fill="CCEEFF" w:val="clear"/>
            <w:vAlign w:val="center"/>
          </w:tcPr>
          <w:p>
            <w:pPr>
              <w:pStyle w:val="TableContents"/>
              <w:bidi w:val="0"/>
              <w:spacing w:lineRule="auto" w:line="285" w:before="0" w:after="0"/>
              <w:ind w:left="0" w:right="0" w:hanging="0"/>
              <w:jc w:val="left"/>
              <w:rPr/>
            </w:pPr>
            <w:r>
              <w:rPr/>
              <w:t>​</w:t>
            </w:r>
          </w:p>
        </w:tc>
        <w:tc>
          <w:tcPr>
            <w:tcW w:w="10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41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 </w:t>
            </w:r>
          </w:p>
        </w:tc>
        <w:tc>
          <w:tcPr>
            <w:tcW w:w="3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6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6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8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(365)</w:t>
            </w:r>
          </w:p>
        </w:tc>
      </w:tr>
      <w:tr>
        <w:trPr/>
        <w:tc>
          <w:tcPr>
            <w:tcW w:w="41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(5,144)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(1,619)</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(10,098)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(436)</w:t>
            </w:r>
          </w:p>
        </w:tc>
      </w:tr>
      <w:tr>
        <w:trPr/>
        <w:tc>
          <w:tcPr>
            <w:tcW w:w="4101" w:type="dxa"/>
            <w:tcBorders/>
            <w:vAlign w:val="center"/>
          </w:tcPr>
          <w:p>
            <w:pPr>
              <w:pStyle w:val="TableContents"/>
              <w:bidi w:val="0"/>
              <w:spacing w:lineRule="auto" w:line="285" w:before="0" w:after="0"/>
              <w:ind w:left="0" w:right="0" w:hanging="0"/>
              <w:jc w:val="left"/>
              <w:rPr/>
            </w:pPr>
            <w:r>
              <w:rPr/>
              <w:t>​</w:t>
            </w:r>
          </w:p>
        </w:tc>
        <w:tc>
          <w:tcPr>
            <w:tcW w:w="301" w:type="dxa"/>
            <w:tcBorders/>
            <w:vAlign w:val="center"/>
          </w:tcPr>
          <w:p>
            <w:pPr>
              <w:pStyle w:val="TableContents"/>
              <w:bidi w:val="0"/>
              <w:spacing w:lineRule="auto" w:line="285" w:before="0" w:after="0"/>
              <w:ind w:left="0" w:right="0" w:hanging="0"/>
              <w:jc w:val="left"/>
              <w:rPr/>
            </w:pPr>
            <w:r>
              <w:rPr/>
              <w:t>​</w:t>
            </w:r>
          </w:p>
        </w:tc>
        <w:tc>
          <w:tcPr>
            <w:tcW w:w="968"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01" w:type="dxa"/>
            <w:tcBorders/>
            <w:vAlign w:val="center"/>
          </w:tcPr>
          <w:p>
            <w:pPr>
              <w:pStyle w:val="TableContents"/>
              <w:bidi w:val="0"/>
              <w:spacing w:lineRule="auto" w:line="285" w:before="0" w:after="0"/>
              <w:ind w:left="0" w:right="0" w:hanging="0"/>
              <w:jc w:val="left"/>
              <w:rPr/>
            </w:pPr>
            <w:r>
              <w:rPr/>
              <w:t>​</w:t>
            </w:r>
          </w:p>
        </w:tc>
        <w:tc>
          <w:tcPr>
            <w:tcW w:w="968" w:type="dxa"/>
            <w:tcBorders/>
            <w:vAlign w:val="center"/>
          </w:tcPr>
          <w:p>
            <w:pPr>
              <w:pStyle w:val="TableContents"/>
              <w:bidi w:val="0"/>
              <w:spacing w:lineRule="auto" w:line="285" w:before="0" w:after="0"/>
              <w:ind w:left="0" w:right="0" w:hanging="0"/>
              <w:jc w:val="center"/>
              <w:rPr/>
            </w:pPr>
            <w:r>
              <w:rPr/>
              <w:t>​</w:t>
            </w:r>
          </w:p>
        </w:tc>
        <w:tc>
          <w:tcPr>
            <w:tcW w:w="286" w:type="dxa"/>
            <w:tcBorders/>
            <w:vAlign w:val="center"/>
          </w:tcPr>
          <w:p>
            <w:pPr>
              <w:pStyle w:val="TableContents"/>
              <w:bidi w:val="0"/>
              <w:spacing w:lineRule="auto" w:line="285" w:before="0" w:after="0"/>
              <w:ind w:left="0" w:right="0" w:hanging="0"/>
              <w:jc w:val="left"/>
              <w:rPr/>
            </w:pPr>
            <w:r>
              <w:rPr/>
              <w:t>​</w:t>
            </w:r>
          </w:p>
        </w:tc>
        <w:tc>
          <w:tcPr>
            <w:tcW w:w="281" w:type="dxa"/>
            <w:tcBorders/>
            <w:vAlign w:val="center"/>
          </w:tcPr>
          <w:p>
            <w:pPr>
              <w:pStyle w:val="TableContents"/>
              <w:bidi w:val="0"/>
              <w:spacing w:lineRule="auto" w:line="285" w:before="0" w:after="0"/>
              <w:ind w:left="0" w:right="0" w:hanging="0"/>
              <w:jc w:val="left"/>
              <w:rPr/>
            </w:pPr>
            <w:r>
              <w:rPr/>
              <w:t>​</w:t>
            </w:r>
          </w:p>
        </w:tc>
        <w:tc>
          <w:tcPr>
            <w:tcW w:w="98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97" w:type="dxa"/>
            <w:tcBorders/>
            <w:vAlign w:val="center"/>
          </w:tcPr>
          <w:p>
            <w:pPr>
              <w:pStyle w:val="TableContents"/>
              <w:bidi w:val="0"/>
              <w:spacing w:lineRule="auto" w:line="285" w:before="0" w:after="0"/>
              <w:ind w:left="0" w:right="0" w:hanging="0"/>
              <w:jc w:val="left"/>
              <w:rPr/>
            </w:pPr>
            <w:r>
              <w:rPr/>
              <w:t>​</w:t>
            </w:r>
          </w:p>
        </w:tc>
        <w:tc>
          <w:tcPr>
            <w:tcW w:w="1022" w:type="dxa"/>
            <w:tcBorders/>
            <w:vAlign w:val="center"/>
          </w:tcPr>
          <w:p>
            <w:pPr>
              <w:pStyle w:val="TableContents"/>
              <w:bidi w:val="0"/>
              <w:spacing w:lineRule="auto" w:line="285" w:before="0" w:after="0"/>
              <w:ind w:left="0" w:right="0" w:hanging="0"/>
              <w:jc w:val="left"/>
              <w:rPr/>
            </w:pPr>
            <w:r>
              <w:rPr/>
              <w:t>​</w:t>
            </w:r>
          </w:p>
        </w:tc>
      </w:tr>
      <w:tr>
        <w:trPr/>
        <w:tc>
          <w:tcPr>
            <w:tcW w:w="41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Basic net loss per common share</w:t>
            </w:r>
          </w:p>
        </w:tc>
        <w:tc>
          <w:tcPr>
            <w:tcW w:w="3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(0.17)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(0.06)</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(0.35)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(0.02)</w:t>
            </w:r>
          </w:p>
        </w:tc>
      </w:tr>
      <w:tr>
        <w:trPr/>
        <w:tc>
          <w:tcPr>
            <w:tcW w:w="410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Diluted net loss per common share</w:t>
            </w:r>
          </w:p>
        </w:tc>
        <w:tc>
          <w:tcPr>
            <w:tcW w:w="30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(0.17)</w:t>
            </w:r>
          </w:p>
        </w:tc>
        <w:tc>
          <w:tcPr>
            <w:tcW w:w="346" w:type="dxa"/>
            <w:tcBorders/>
            <w:vAlign w:val="center"/>
          </w:tcPr>
          <w:p>
            <w:pPr>
              <w:pStyle w:val="TableContents"/>
              <w:bidi w:val="0"/>
              <w:spacing w:lineRule="auto" w:line="285"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(0.06)</w:t>
            </w:r>
          </w:p>
        </w:tc>
        <w:tc>
          <w:tcPr>
            <w:tcW w:w="286" w:type="dxa"/>
            <w:tcBorders/>
            <w:vAlign w:val="center"/>
          </w:tcPr>
          <w:p>
            <w:pPr>
              <w:pStyle w:val="TableContents"/>
              <w:bidi w:val="0"/>
              <w:spacing w:lineRule="auto" w:line="285"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8"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(0.35)</w:t>
            </w:r>
          </w:p>
        </w:tc>
        <w:tc>
          <w:tcPr>
            <w:tcW w:w="346" w:type="dxa"/>
            <w:tcBorders/>
            <w:vAlign w:val="center"/>
          </w:tcPr>
          <w:p>
            <w:pPr>
              <w:pStyle w:val="TableContents"/>
              <w:bidi w:val="0"/>
              <w:spacing w:lineRule="auto" w:line="285"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2"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(0.02)</w:t>
            </w:r>
          </w:p>
        </w:tc>
      </w:tr>
      <w:tr>
        <w:trPr/>
        <w:tc>
          <w:tcPr>
            <w:tcW w:w="41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Weighted-average number of common shares outstanding basic </w:t>
            </w:r>
          </w:p>
        </w:tc>
        <w:tc>
          <w:tcPr>
            <w:tcW w:w="3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6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31,175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6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27,460</w:t>
            </w:r>
          </w:p>
        </w:tc>
        <w:tc>
          <w:tcPr>
            <w:tcW w:w="286" w:type="dxa"/>
            <w:tcBorders/>
            <w:shd w:fill="CCEEFF" w:val="clear"/>
            <w:vAlign w:val="center"/>
          </w:tcPr>
          <w:p>
            <w:pPr>
              <w:pStyle w:val="TableContents"/>
              <w:bidi w:val="0"/>
              <w:spacing w:lineRule="auto" w:line="285"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8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28,577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27,294</w:t>
            </w:r>
          </w:p>
        </w:tc>
      </w:tr>
      <w:tr>
        <w:trPr/>
        <w:tc>
          <w:tcPr>
            <w:tcW w:w="410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Weighted-average number of common shares outstanding diluted </w:t>
            </w:r>
          </w:p>
        </w:tc>
        <w:tc>
          <w:tcPr>
            <w:tcW w:w="30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68"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31,175</w:t>
            </w:r>
          </w:p>
        </w:tc>
        <w:tc>
          <w:tcPr>
            <w:tcW w:w="346" w:type="dxa"/>
            <w:tcBorders/>
            <w:vAlign w:val="center"/>
          </w:tcPr>
          <w:p>
            <w:pPr>
              <w:pStyle w:val="TableContents"/>
              <w:bidi w:val="0"/>
              <w:spacing w:lineRule="auto" w:line="285"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68"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27,460</w:t>
            </w:r>
          </w:p>
        </w:tc>
        <w:tc>
          <w:tcPr>
            <w:tcW w:w="286" w:type="dxa"/>
            <w:tcBorders/>
            <w:vAlign w:val="center"/>
          </w:tcPr>
          <w:p>
            <w:pPr>
              <w:pStyle w:val="TableContents"/>
              <w:bidi w:val="0"/>
              <w:spacing w:lineRule="auto" w:line="285"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88"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28,577</w:t>
            </w:r>
          </w:p>
        </w:tc>
        <w:tc>
          <w:tcPr>
            <w:tcW w:w="346" w:type="dxa"/>
            <w:tcBorders/>
            <w:vAlign w:val="center"/>
          </w:tcPr>
          <w:p>
            <w:pPr>
              <w:pStyle w:val="TableContents"/>
              <w:bidi w:val="0"/>
              <w:spacing w:lineRule="auto" w:line="285"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22" w:type="dxa"/>
            <w:tcBorders>
              <w:bottom w:val="double" w:sz="6"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27,294</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141"/>
        <w:gridCol w:w="109"/>
        <w:gridCol w:w="255"/>
        <w:gridCol w:w="1026"/>
        <w:gridCol w:w="346"/>
        <w:gridCol w:w="254"/>
        <w:gridCol w:w="1074"/>
      </w:tblGrid>
      <w:tr>
        <w:trPr/>
        <w:tc>
          <w:tcPr>
            <w:tcW w:w="7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534535" cy="175260"/>
                      <wp:effectExtent l="0" t="0" r="0" b="0"/>
                      <wp:wrapNone/>
                      <wp:docPr id="19" name="Frame18"/>
                      <a:graphic xmlns:a="http://schemas.openxmlformats.org/drawingml/2006/main">
                        <a:graphicData uri="http://schemas.microsoft.com/office/word/2010/wordprocessingShape">
                          <wps:wsp>
                            <wps:cNvSpPr txBox="1"/>
                            <wps:spPr>
                              <a:xfrm>
                                <a:off x="0" y="0"/>
                                <a:ext cx="4534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215" cy="175260"/>
                      <wp:effectExtent l="0" t="0" r="0" b="0"/>
                      <wp:wrapNone/>
                      <wp:docPr id="20" name="Frame1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61925" cy="175260"/>
                      <wp:effectExtent l="0" t="0" r="0" b="0"/>
                      <wp:wrapNone/>
                      <wp:docPr id="21" name="Frame20"/>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51510" cy="175260"/>
                      <wp:effectExtent l="0" t="0" r="0" b="0"/>
                      <wp:wrapNone/>
                      <wp:docPr id="22" name="Frame21"/>
                      <a:graphic xmlns:a="http://schemas.openxmlformats.org/drawingml/2006/main">
                        <a:graphicData uri="http://schemas.microsoft.com/office/word/2010/wordprocessingShape">
                          <wps:wsp>
                            <wps:cNvSpPr txBox="1"/>
                            <wps:spPr>
                              <a:xfrm>
                                <a:off x="0" y="0"/>
                                <a:ext cx="651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61290" cy="175260"/>
                      <wp:effectExtent l="0" t="0" r="0" b="0"/>
                      <wp:wrapNone/>
                      <wp:docPr id="24" name="Frame23"/>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81990" cy="175260"/>
                      <wp:effectExtent l="0" t="0" r="0" b="0"/>
                      <wp:wrapNone/>
                      <wp:docPr id="25" name="Frame24"/>
                      <a:graphic xmlns:a="http://schemas.openxmlformats.org/drawingml/2006/main">
                        <a:graphicData uri="http://schemas.microsoft.com/office/word/2010/wordprocessingShape">
                          <wps:wsp>
                            <wps:cNvSpPr txBox="1"/>
                            <wps:spPr>
                              <a:xfrm>
                                <a:off x="0" y="0"/>
                                <a:ext cx="6819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1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28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46" w:type="dxa"/>
            <w:tcBorders/>
            <w:vAlign w:val="center"/>
          </w:tcPr>
          <w:p>
            <w:pPr>
              <w:pStyle w:val="TableContents"/>
              <w:bidi w:val="0"/>
              <w:spacing w:lineRule="auto" w:line="285" w:before="0" w:after="0"/>
              <w:ind w:left="0" w:right="0" w:hanging="0"/>
              <w:jc w:val="left"/>
              <w:rPr/>
            </w:pPr>
            <w:r>
              <w:rPr/>
              <w:t>​</w:t>
            </w:r>
          </w:p>
        </w:tc>
        <w:tc>
          <w:tcPr>
            <w:tcW w:w="1328"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r>
      <w:tr>
        <w:trPr/>
        <w:tc>
          <w:tcPr>
            <w:tcW w:w="71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28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132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71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102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4" w:type="dxa"/>
            <w:tcBorders/>
            <w:vAlign w:val="center"/>
          </w:tcPr>
          <w:p>
            <w:pPr>
              <w:pStyle w:val="TableContents"/>
              <w:bidi w:val="0"/>
              <w:spacing w:lineRule="auto" w:line="285" w:before="0" w:after="0"/>
              <w:ind w:left="0" w:right="0" w:hanging="0"/>
              <w:jc w:val="left"/>
              <w:rPr/>
            </w:pPr>
            <w:r>
              <w:rPr/>
              <w:t>​</w:t>
            </w:r>
          </w:p>
        </w:tc>
        <w:tc>
          <w:tcPr>
            <w:tcW w:w="1074" w:type="dxa"/>
            <w:tcBorders/>
            <w:vAlign w:val="center"/>
          </w:tcPr>
          <w:p>
            <w:pPr>
              <w:pStyle w:val="TableContents"/>
              <w:bidi w:val="0"/>
              <w:spacing w:lineRule="auto" w:line="285" w:before="0" w:after="0"/>
              <w:ind w:left="0" w:right="0" w:hanging="0"/>
              <w:jc w:val="right"/>
              <w:rPr/>
            </w:pPr>
            <w:r>
              <w:rPr/>
              <w:t>​</w:t>
            </w:r>
          </w:p>
        </w:tc>
      </w:tr>
      <w:tr>
        <w:trPr/>
        <w:tc>
          <w:tcPr>
            <w:tcW w:w="7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102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54" w:type="dxa"/>
            <w:tcBorders/>
            <w:shd w:fill="CCEEFF" w:val="clear"/>
            <w:vAlign w:val="center"/>
          </w:tcPr>
          <w:p>
            <w:pPr>
              <w:pStyle w:val="TableContents"/>
              <w:bidi w:val="0"/>
              <w:spacing w:lineRule="auto" w:line="285" w:before="0" w:after="0"/>
              <w:ind w:left="0" w:right="0" w:hanging="0"/>
              <w:jc w:val="left"/>
              <w:rPr/>
            </w:pPr>
            <w:r>
              <w:rPr/>
              <w:t>​</w:t>
            </w:r>
          </w:p>
        </w:tc>
        <w:tc>
          <w:tcPr>
            <w:tcW w:w="1074" w:type="dxa"/>
            <w:tcBorders/>
            <w:shd w:fill="CCEEFF" w:val="clear"/>
            <w:vAlign w:val="center"/>
          </w:tcPr>
          <w:p>
            <w:pPr>
              <w:pStyle w:val="TableContents"/>
              <w:bidi w:val="0"/>
              <w:spacing w:lineRule="auto" w:line="285" w:before="0" w:after="0"/>
              <w:ind w:left="0" w:right="0" w:hanging="0"/>
              <w:jc w:val="right"/>
              <w:rPr/>
            </w:pPr>
            <w:r>
              <w:rPr/>
              <w:t>  ​</w:t>
            </w:r>
          </w:p>
        </w:tc>
      </w:tr>
      <w:tr>
        <w:trPr/>
        <w:tc>
          <w:tcPr>
            <w:tcW w:w="71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1026"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285" w:before="0" w:after="0"/>
              <w:ind w:left="0" w:right="0" w:hanging="0"/>
              <w:jc w:val="left"/>
              <w:rPr/>
            </w:pPr>
            <w:r>
              <w:rPr/>
              <w:t> </w:t>
            </w:r>
          </w:p>
        </w:tc>
        <w:tc>
          <w:tcPr>
            <w:tcW w:w="254" w:type="dxa"/>
            <w:tcBorders/>
            <w:vAlign w:val="center"/>
          </w:tcPr>
          <w:p>
            <w:pPr>
              <w:pStyle w:val="TableContents"/>
              <w:bidi w:val="0"/>
              <w:spacing w:lineRule="auto" w:line="285" w:before="0" w:after="0"/>
              <w:ind w:left="0" w:right="0" w:hanging="0"/>
              <w:jc w:val="left"/>
              <w:rPr/>
            </w:pPr>
            <w:r>
              <w:rPr/>
              <w:t>​</w:t>
            </w:r>
          </w:p>
        </w:tc>
        <w:tc>
          <w:tcPr>
            <w:tcW w:w="1074" w:type="dxa"/>
            <w:tcBorders/>
            <w:vAlign w:val="center"/>
          </w:tcPr>
          <w:p>
            <w:pPr>
              <w:pStyle w:val="TableContents"/>
              <w:bidi w:val="0"/>
              <w:spacing w:lineRule="auto" w:line="285" w:before="0" w:after="0"/>
              <w:ind w:left="0" w:right="0" w:hanging="0"/>
              <w:jc w:val="right"/>
              <w:rPr/>
            </w:pPr>
            <w:r>
              <w:rPr/>
              <w:t>  ​</w:t>
            </w:r>
          </w:p>
        </w:tc>
      </w:tr>
      <w:tr>
        <w:trPr/>
        <w:tc>
          <w:tcPr>
            <w:tcW w:w="7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102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54" w:type="dxa"/>
            <w:tcBorders/>
            <w:shd w:fill="CCEEFF" w:val="clear"/>
            <w:vAlign w:val="center"/>
          </w:tcPr>
          <w:p>
            <w:pPr>
              <w:pStyle w:val="TableContents"/>
              <w:bidi w:val="0"/>
              <w:spacing w:lineRule="auto" w:line="285" w:before="0" w:after="0"/>
              <w:ind w:left="0" w:right="0" w:hanging="0"/>
              <w:jc w:val="left"/>
              <w:rPr/>
            </w:pPr>
            <w:r>
              <w:rPr/>
              <w:t>​</w:t>
            </w:r>
          </w:p>
        </w:tc>
        <w:tc>
          <w:tcPr>
            <w:tcW w:w="1074" w:type="dxa"/>
            <w:tcBorders/>
            <w:shd w:fill="CCEEFF" w:val="clear"/>
            <w:vAlign w:val="center"/>
          </w:tcPr>
          <w:p>
            <w:pPr>
              <w:pStyle w:val="TableContents"/>
              <w:bidi w:val="0"/>
              <w:spacing w:lineRule="auto" w:line="285" w:before="0" w:after="0"/>
              <w:ind w:left="0" w:right="0" w:hanging="0"/>
              <w:jc w:val="right"/>
              <w:rPr/>
            </w:pPr>
            <w:r>
              <w:rPr/>
              <w:t>  ​</w:t>
            </w:r>
          </w:p>
        </w:tc>
      </w:tr>
      <w:tr>
        <w:trPr/>
        <w:tc>
          <w:tcPr>
            <w:tcW w:w="7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36,788</w:t>
            </w:r>
          </w:p>
        </w:tc>
        <w:tc>
          <w:tcPr>
            <w:tcW w:w="346" w:type="dxa"/>
            <w:tcBorders/>
            <w:vAlign w:val="center"/>
          </w:tcPr>
          <w:p>
            <w:pPr>
              <w:pStyle w:val="TableContents"/>
              <w:bidi w:val="0"/>
              <w:spacing w:lineRule="auto" w:line="285" w:before="0" w:after="0"/>
              <w:ind w:left="0" w:right="0" w:hanging="0"/>
              <w:jc w:val="left"/>
              <w:rPr/>
            </w:pPr>
            <w:r>
              <w:rPr/>
              <w:t>​</w:t>
            </w:r>
          </w:p>
        </w:tc>
        <w:tc>
          <w:tcPr>
            <w:tcW w:w="25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26,634</w:t>
            </w:r>
          </w:p>
        </w:tc>
      </w:tr>
      <w:tr>
        <w:trPr/>
        <w:tc>
          <w:tcPr>
            <w:tcW w:w="7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10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23,221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4" w:type="dxa"/>
            <w:tcBorders/>
            <w:shd w:fill="CCEEFF" w:val="clear"/>
            <w:vAlign w:val="center"/>
          </w:tcPr>
          <w:p>
            <w:pPr>
              <w:pStyle w:val="TableContents"/>
              <w:bidi w:val="0"/>
              <w:spacing w:lineRule="auto" w:line="285" w:before="0" w:after="0"/>
              <w:ind w:left="0" w:right="0" w:hanging="0"/>
              <w:jc w:val="left"/>
              <w:rPr/>
            </w:pPr>
            <w:r>
              <w:rPr/>
              <w:t>​</w:t>
            </w:r>
          </w:p>
        </w:tc>
        <w:tc>
          <w:tcPr>
            <w:tcW w:w="10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12,884</w:t>
            </w:r>
          </w:p>
        </w:tc>
      </w:tr>
      <w:tr>
        <w:trPr/>
        <w:tc>
          <w:tcPr>
            <w:tcW w:w="7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 </w:t>
            </w:r>
          </w:p>
        </w:tc>
        <w:tc>
          <w:tcPr>
            <w:tcW w:w="10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3,738</w:t>
            </w:r>
          </w:p>
        </w:tc>
        <w:tc>
          <w:tcPr>
            <w:tcW w:w="346" w:type="dxa"/>
            <w:tcBorders/>
            <w:vAlign w:val="center"/>
          </w:tcPr>
          <w:p>
            <w:pPr>
              <w:pStyle w:val="TableContents"/>
              <w:bidi w:val="0"/>
              <w:spacing w:lineRule="auto" w:line="285" w:before="0" w:after="0"/>
              <w:ind w:left="0" w:right="0" w:hanging="0"/>
              <w:jc w:val="left"/>
              <w:rPr/>
            </w:pPr>
            <w:r>
              <w:rPr/>
              <w:t>​</w:t>
            </w:r>
          </w:p>
        </w:tc>
        <w:tc>
          <w:tcPr>
            <w:tcW w:w="254" w:type="dxa"/>
            <w:tcBorders/>
            <w:vAlign w:val="center"/>
          </w:tcPr>
          <w:p>
            <w:pPr>
              <w:pStyle w:val="TableContents"/>
              <w:bidi w:val="0"/>
              <w:spacing w:lineRule="auto" w:line="285" w:before="0" w:after="0"/>
              <w:ind w:left="0" w:right="0" w:hanging="0"/>
              <w:jc w:val="left"/>
              <w:rPr/>
            </w:pPr>
            <w:r>
              <w:rPr/>
              <w:t> </w:t>
            </w:r>
          </w:p>
        </w:tc>
        <w:tc>
          <w:tcPr>
            <w:tcW w:w="107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3,080</w:t>
            </w:r>
          </w:p>
        </w:tc>
      </w:tr>
      <w:tr>
        <w:trPr/>
        <w:tc>
          <w:tcPr>
            <w:tcW w:w="7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10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1,565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4" w:type="dxa"/>
            <w:tcBorders/>
            <w:shd w:fill="CCEEFF" w:val="clear"/>
            <w:vAlign w:val="center"/>
          </w:tcPr>
          <w:p>
            <w:pPr>
              <w:pStyle w:val="TableContents"/>
              <w:bidi w:val="0"/>
              <w:spacing w:lineRule="auto" w:line="285" w:before="0" w:after="0"/>
              <w:ind w:left="0" w:right="0" w:hanging="0"/>
              <w:jc w:val="left"/>
              <w:rPr/>
            </w:pPr>
            <w:r>
              <w:rPr/>
              <w:t>​</w:t>
            </w:r>
          </w:p>
        </w:tc>
        <w:tc>
          <w:tcPr>
            <w:tcW w:w="10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1,060</w:t>
            </w:r>
          </w:p>
        </w:tc>
      </w:tr>
      <w:tr>
        <w:trPr/>
        <w:tc>
          <w:tcPr>
            <w:tcW w:w="7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1,374</w:t>
            </w:r>
          </w:p>
        </w:tc>
        <w:tc>
          <w:tcPr>
            <w:tcW w:w="346" w:type="dxa"/>
            <w:tcBorders/>
            <w:vAlign w:val="center"/>
          </w:tcPr>
          <w:p>
            <w:pPr>
              <w:pStyle w:val="TableContents"/>
              <w:bidi w:val="0"/>
              <w:spacing w:lineRule="auto" w:line="285"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466</w:t>
            </w:r>
          </w:p>
        </w:tc>
      </w:tr>
      <w:tr>
        <w:trPr/>
        <w:tc>
          <w:tcPr>
            <w:tcW w:w="7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66,686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44,124</w:t>
            </w:r>
          </w:p>
        </w:tc>
      </w:tr>
      <w:tr>
        <w:trPr/>
        <w:tc>
          <w:tcPr>
            <w:tcW w:w="71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10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4" w:type="dxa"/>
            <w:tcBorders/>
            <w:vAlign w:val="center"/>
          </w:tcPr>
          <w:p>
            <w:pPr>
              <w:pStyle w:val="TableContents"/>
              <w:bidi w:val="0"/>
              <w:spacing w:lineRule="auto" w:line="285" w:before="0" w:after="0"/>
              <w:ind w:left="0" w:right="0" w:hanging="0"/>
              <w:jc w:val="left"/>
              <w:rPr/>
            </w:pPr>
            <w:r>
              <w:rPr/>
              <w:t>​</w:t>
            </w:r>
          </w:p>
        </w:tc>
        <w:tc>
          <w:tcPr>
            <w:tcW w:w="1074" w:type="dxa"/>
            <w:tcBorders/>
            <w:vAlign w:val="center"/>
          </w:tcPr>
          <w:p>
            <w:pPr>
              <w:pStyle w:val="TableContents"/>
              <w:bidi w:val="0"/>
              <w:spacing w:lineRule="auto" w:line="285" w:before="0" w:after="0"/>
              <w:ind w:left="0" w:right="0" w:hanging="0"/>
              <w:jc w:val="left"/>
              <w:rPr/>
            </w:pPr>
            <w:r>
              <w:rPr/>
              <w:t>​</w:t>
            </w:r>
          </w:p>
        </w:tc>
      </w:tr>
      <w:tr>
        <w:trPr/>
        <w:tc>
          <w:tcPr>
            <w:tcW w:w="7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10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4" w:type="dxa"/>
            <w:tcBorders/>
            <w:shd w:fill="CCEEFF" w:val="clear"/>
            <w:vAlign w:val="center"/>
          </w:tcPr>
          <w:p>
            <w:pPr>
              <w:pStyle w:val="TableContents"/>
              <w:bidi w:val="0"/>
              <w:spacing w:lineRule="auto" w:line="285" w:before="0" w:after="0"/>
              <w:ind w:left="0" w:right="0" w:hanging="0"/>
              <w:jc w:val="left"/>
              <w:rPr/>
            </w:pPr>
            <w:r>
              <w:rPr/>
              <w:t>​</w:t>
            </w:r>
          </w:p>
        </w:tc>
        <w:tc>
          <w:tcPr>
            <w:tcW w:w="1074" w:type="dxa"/>
            <w:tcBorders/>
            <w:shd w:fill="CCEEFF" w:val="clear"/>
            <w:vAlign w:val="center"/>
          </w:tcPr>
          <w:p>
            <w:pPr>
              <w:pStyle w:val="TableContents"/>
              <w:bidi w:val="0"/>
              <w:spacing w:lineRule="auto" w:line="285" w:before="0" w:after="0"/>
              <w:ind w:left="0" w:right="0" w:hanging="0"/>
              <w:jc w:val="right"/>
              <w:rPr/>
            </w:pPr>
            <w:r>
              <w:rPr/>
              <w:t>​</w:t>
            </w:r>
          </w:p>
        </w:tc>
      </w:tr>
      <w:tr>
        <w:trPr/>
        <w:tc>
          <w:tcPr>
            <w:tcW w:w="7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 net of amortization</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3,508</w:t>
            </w:r>
          </w:p>
        </w:tc>
        <w:tc>
          <w:tcPr>
            <w:tcW w:w="346" w:type="dxa"/>
            <w:tcBorders/>
            <w:vAlign w:val="center"/>
          </w:tcPr>
          <w:p>
            <w:pPr>
              <w:pStyle w:val="TableContents"/>
              <w:bidi w:val="0"/>
              <w:spacing w:lineRule="auto" w:line="285"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822</w:t>
            </w:r>
          </w:p>
        </w:tc>
      </w:tr>
      <w:tr>
        <w:trPr/>
        <w:tc>
          <w:tcPr>
            <w:tcW w:w="7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3,508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822</w:t>
            </w:r>
          </w:p>
        </w:tc>
      </w:tr>
      <w:tr>
        <w:trPr/>
        <w:tc>
          <w:tcPr>
            <w:tcW w:w="714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70,194</w:t>
            </w:r>
          </w:p>
        </w:tc>
        <w:tc>
          <w:tcPr>
            <w:tcW w:w="346" w:type="dxa"/>
            <w:tcBorders/>
            <w:vAlign w:val="center"/>
          </w:tcPr>
          <w:p>
            <w:pPr>
              <w:pStyle w:val="TableContents"/>
              <w:bidi w:val="0"/>
              <w:spacing w:lineRule="auto" w:line="285"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44,946</w:t>
            </w:r>
          </w:p>
        </w:tc>
      </w:tr>
      <w:tr>
        <w:trPr/>
        <w:tc>
          <w:tcPr>
            <w:tcW w:w="714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 </w:t>
            </w:r>
          </w:p>
        </w:tc>
        <w:tc>
          <w:tcPr>
            <w:tcW w:w="102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4" w:type="dxa"/>
            <w:tcBorders/>
            <w:shd w:fill="CCEEFF" w:val="clear"/>
            <w:vAlign w:val="center"/>
          </w:tcPr>
          <w:p>
            <w:pPr>
              <w:pStyle w:val="TableContents"/>
              <w:bidi w:val="0"/>
              <w:spacing w:lineRule="auto" w:line="285" w:before="0" w:after="0"/>
              <w:ind w:left="0" w:right="0" w:hanging="0"/>
              <w:jc w:val="left"/>
              <w:rPr/>
            </w:pPr>
            <w:r>
              <w:rPr/>
              <w:t> </w:t>
            </w:r>
          </w:p>
        </w:tc>
        <w:tc>
          <w:tcPr>
            <w:tcW w:w="1074" w:type="dxa"/>
            <w:tcBorders/>
            <w:shd w:fill="CCEEFF" w:val="clear"/>
            <w:vAlign w:val="center"/>
          </w:tcPr>
          <w:p>
            <w:pPr>
              <w:pStyle w:val="TableContents"/>
              <w:bidi w:val="0"/>
              <w:spacing w:lineRule="auto" w:line="285" w:before="0" w:after="0"/>
              <w:ind w:left="0" w:right="0" w:hanging="0"/>
              <w:jc w:val="right"/>
              <w:rPr/>
            </w:pPr>
            <w:r>
              <w:rPr/>
              <w:t>  ​</w:t>
            </w:r>
          </w:p>
        </w:tc>
      </w:tr>
      <w:tr>
        <w:trPr/>
        <w:tc>
          <w:tcPr>
            <w:tcW w:w="714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shareholders’ (deficit) equity</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 </w:t>
            </w:r>
          </w:p>
        </w:tc>
        <w:tc>
          <w:tcPr>
            <w:tcW w:w="1026"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285" w:before="0" w:after="0"/>
              <w:ind w:left="0" w:right="0" w:hanging="0"/>
              <w:jc w:val="left"/>
              <w:rPr/>
            </w:pPr>
            <w:r>
              <w:rPr/>
              <w:t>​</w:t>
            </w:r>
          </w:p>
        </w:tc>
        <w:tc>
          <w:tcPr>
            <w:tcW w:w="254" w:type="dxa"/>
            <w:tcBorders/>
            <w:vAlign w:val="center"/>
          </w:tcPr>
          <w:p>
            <w:pPr>
              <w:pStyle w:val="TableContents"/>
              <w:bidi w:val="0"/>
              <w:spacing w:lineRule="auto" w:line="285" w:before="0" w:after="0"/>
              <w:ind w:left="0" w:right="0" w:hanging="0"/>
              <w:jc w:val="left"/>
              <w:rPr/>
            </w:pPr>
            <w:r>
              <w:rPr/>
              <w:t> </w:t>
            </w:r>
          </w:p>
        </w:tc>
        <w:tc>
          <w:tcPr>
            <w:tcW w:w="1074" w:type="dxa"/>
            <w:tcBorders/>
            <w:vAlign w:val="center"/>
          </w:tcPr>
          <w:p>
            <w:pPr>
              <w:pStyle w:val="TableContents"/>
              <w:bidi w:val="0"/>
              <w:spacing w:lineRule="auto" w:line="285" w:before="0" w:after="0"/>
              <w:ind w:left="0" w:right="0" w:hanging="0"/>
              <w:jc w:val="right"/>
              <w:rPr/>
            </w:pPr>
            <w:r>
              <w:rPr/>
              <w:t>  ​</w:t>
            </w:r>
          </w:p>
        </w:tc>
      </w:tr>
      <w:tr>
        <w:trPr/>
        <w:tc>
          <w:tcPr>
            <w:tcW w:w="714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 </w:t>
            </w:r>
          </w:p>
        </w:tc>
        <w:tc>
          <w:tcPr>
            <w:tcW w:w="102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4" w:type="dxa"/>
            <w:tcBorders/>
            <w:shd w:fill="CCEEFF" w:val="clear"/>
            <w:vAlign w:val="center"/>
          </w:tcPr>
          <w:p>
            <w:pPr>
              <w:pStyle w:val="TableContents"/>
              <w:bidi w:val="0"/>
              <w:spacing w:lineRule="auto" w:line="285" w:before="0" w:after="0"/>
              <w:ind w:left="0" w:right="0" w:hanging="0"/>
              <w:jc w:val="left"/>
              <w:rPr/>
            </w:pPr>
            <w:r>
              <w:rPr/>
              <w:t> </w:t>
            </w:r>
          </w:p>
        </w:tc>
        <w:tc>
          <w:tcPr>
            <w:tcW w:w="1074" w:type="dxa"/>
            <w:tcBorders/>
            <w:shd w:fill="CCEEFF" w:val="clear"/>
            <w:vAlign w:val="center"/>
          </w:tcPr>
          <w:p>
            <w:pPr>
              <w:pStyle w:val="TableContents"/>
              <w:bidi w:val="0"/>
              <w:spacing w:lineRule="auto" w:line="285" w:before="0" w:after="0"/>
              <w:ind w:left="0" w:right="0" w:hanging="0"/>
              <w:jc w:val="right"/>
              <w:rPr/>
            </w:pPr>
            <w:r>
              <w:rPr/>
              <w:t>  ​</w:t>
            </w:r>
          </w:p>
        </w:tc>
      </w:tr>
      <w:tr>
        <w:trPr/>
        <w:tc>
          <w:tcPr>
            <w:tcW w:w="714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 </w:t>
            </w:r>
          </w:p>
        </w:tc>
        <w:tc>
          <w:tcPr>
            <w:tcW w:w="1026"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285" w:before="0" w:after="0"/>
              <w:ind w:left="0" w:right="0" w:hanging="0"/>
              <w:jc w:val="left"/>
              <w:rPr/>
            </w:pPr>
            <w:r>
              <w:rPr/>
              <w:t>​</w:t>
            </w:r>
          </w:p>
        </w:tc>
        <w:tc>
          <w:tcPr>
            <w:tcW w:w="254" w:type="dxa"/>
            <w:tcBorders/>
            <w:vAlign w:val="center"/>
          </w:tcPr>
          <w:p>
            <w:pPr>
              <w:pStyle w:val="TableContents"/>
              <w:bidi w:val="0"/>
              <w:spacing w:lineRule="auto" w:line="285" w:before="0" w:after="0"/>
              <w:ind w:left="0" w:right="0" w:hanging="0"/>
              <w:jc w:val="left"/>
              <w:rPr/>
            </w:pPr>
            <w:r>
              <w:rPr/>
              <w:t> </w:t>
            </w:r>
          </w:p>
        </w:tc>
        <w:tc>
          <w:tcPr>
            <w:tcW w:w="1074" w:type="dxa"/>
            <w:tcBorders/>
            <w:vAlign w:val="center"/>
          </w:tcPr>
          <w:p>
            <w:pPr>
              <w:pStyle w:val="TableContents"/>
              <w:bidi w:val="0"/>
              <w:spacing w:lineRule="auto" w:line="285" w:before="0" w:after="0"/>
              <w:ind w:left="0" w:right="0" w:hanging="0"/>
              <w:jc w:val="right"/>
              <w:rPr/>
            </w:pPr>
            <w:r>
              <w:rPr/>
              <w:t>  ​</w:t>
            </w:r>
          </w:p>
        </w:tc>
      </w:tr>
      <w:tr>
        <w:trPr/>
        <w:tc>
          <w:tcPr>
            <w:tcW w:w="7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4,635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3,241</w:t>
            </w:r>
          </w:p>
        </w:tc>
      </w:tr>
      <w:tr>
        <w:trPr/>
        <w:tc>
          <w:tcPr>
            <w:tcW w:w="7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 </w:t>
            </w:r>
          </w:p>
        </w:tc>
        <w:tc>
          <w:tcPr>
            <w:tcW w:w="10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5,635</w:t>
            </w:r>
          </w:p>
        </w:tc>
        <w:tc>
          <w:tcPr>
            <w:tcW w:w="346" w:type="dxa"/>
            <w:tcBorders/>
            <w:vAlign w:val="center"/>
          </w:tcPr>
          <w:p>
            <w:pPr>
              <w:pStyle w:val="TableContents"/>
              <w:bidi w:val="0"/>
              <w:spacing w:lineRule="auto" w:line="285" w:before="0" w:after="0"/>
              <w:ind w:left="0" w:right="0" w:hanging="0"/>
              <w:jc w:val="left"/>
              <w:rPr/>
            </w:pPr>
            <w:r>
              <w:rPr/>
              <w:t>​</w:t>
            </w:r>
          </w:p>
        </w:tc>
        <w:tc>
          <w:tcPr>
            <w:tcW w:w="254" w:type="dxa"/>
            <w:tcBorders/>
            <w:vAlign w:val="center"/>
          </w:tcPr>
          <w:p>
            <w:pPr>
              <w:pStyle w:val="TableContents"/>
              <w:bidi w:val="0"/>
              <w:spacing w:lineRule="auto" w:line="285" w:before="0" w:after="0"/>
              <w:ind w:left="0" w:right="0" w:hanging="0"/>
              <w:jc w:val="left"/>
              <w:rPr/>
            </w:pPr>
            <w:r>
              <w:rPr/>
              <w:t> </w:t>
            </w:r>
          </w:p>
        </w:tc>
        <w:tc>
          <w:tcPr>
            <w:tcW w:w="107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3,428</w:t>
            </w:r>
          </w:p>
        </w:tc>
      </w:tr>
      <w:tr>
        <w:trPr/>
        <w:tc>
          <w:tcPr>
            <w:tcW w:w="7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 - current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10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4" w:type="dxa"/>
            <w:tcBorders/>
            <w:shd w:fill="CCEEFF" w:val="clear"/>
            <w:vAlign w:val="center"/>
          </w:tcPr>
          <w:p>
            <w:pPr>
              <w:pStyle w:val="TableContents"/>
              <w:bidi w:val="0"/>
              <w:spacing w:lineRule="auto" w:line="285" w:before="0" w:after="0"/>
              <w:ind w:left="0" w:right="0" w:hanging="0"/>
              <w:jc w:val="left"/>
              <w:rPr/>
            </w:pPr>
            <w:r>
              <w:rPr/>
              <w:t>​</w:t>
            </w:r>
          </w:p>
        </w:tc>
        <w:tc>
          <w:tcPr>
            <w:tcW w:w="10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Contract liability - current</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248</w:t>
            </w:r>
          </w:p>
        </w:tc>
      </w:tr>
      <w:tr>
        <w:trPr/>
        <w:tc>
          <w:tcPr>
            <w:tcW w:w="7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10,518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6,919</w:t>
            </w:r>
          </w:p>
        </w:tc>
      </w:tr>
      <w:tr>
        <w:trPr/>
        <w:tc>
          <w:tcPr>
            <w:tcW w:w="71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102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4" w:type="dxa"/>
            <w:tcBorders/>
            <w:vAlign w:val="center"/>
          </w:tcPr>
          <w:p>
            <w:pPr>
              <w:pStyle w:val="TableContents"/>
              <w:bidi w:val="0"/>
              <w:spacing w:lineRule="auto" w:line="285" w:before="0" w:after="0"/>
              <w:ind w:left="0" w:right="0" w:hanging="0"/>
              <w:jc w:val="left"/>
              <w:rPr/>
            </w:pPr>
            <w:r>
              <w:rPr/>
              <w:t>​</w:t>
            </w:r>
          </w:p>
        </w:tc>
        <w:tc>
          <w:tcPr>
            <w:tcW w:w="1074" w:type="dxa"/>
            <w:tcBorders/>
            <w:vAlign w:val="center"/>
          </w:tcPr>
          <w:p>
            <w:pPr>
              <w:pStyle w:val="TableContents"/>
              <w:bidi w:val="0"/>
              <w:spacing w:lineRule="auto" w:line="285" w:before="0" w:after="0"/>
              <w:ind w:left="0" w:right="0" w:hanging="0"/>
              <w:jc w:val="right"/>
              <w:rPr/>
            </w:pPr>
            <w:r>
              <w:rPr/>
              <w:t>​</w:t>
            </w:r>
          </w:p>
        </w:tc>
      </w:tr>
      <w:tr>
        <w:trPr/>
        <w:tc>
          <w:tcPr>
            <w:tcW w:w="7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Long term liabilities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10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4" w:type="dxa"/>
            <w:tcBorders/>
            <w:shd w:fill="CCEEFF" w:val="clear"/>
            <w:vAlign w:val="center"/>
          </w:tcPr>
          <w:p>
            <w:pPr>
              <w:pStyle w:val="TableContents"/>
              <w:bidi w:val="0"/>
              <w:spacing w:lineRule="auto" w:line="285" w:before="0" w:after="0"/>
              <w:ind w:left="0" w:right="0" w:hanging="0"/>
              <w:jc w:val="left"/>
              <w:rPr/>
            </w:pPr>
            <w:r>
              <w:rPr/>
              <w:t>​</w:t>
            </w:r>
          </w:p>
        </w:tc>
        <w:tc>
          <w:tcPr>
            <w:tcW w:w="1074" w:type="dxa"/>
            <w:tcBorders/>
            <w:shd w:fill="CCEEFF" w:val="clear"/>
            <w:vAlign w:val="center"/>
          </w:tcPr>
          <w:p>
            <w:pPr>
              <w:pStyle w:val="TableContents"/>
              <w:bidi w:val="0"/>
              <w:spacing w:lineRule="auto" w:line="285" w:before="0" w:after="0"/>
              <w:ind w:left="0" w:right="0" w:hanging="0"/>
              <w:jc w:val="right"/>
              <w:rPr/>
            </w:pPr>
            <w:r>
              <w:rPr/>
              <w:t>​</w:t>
            </w:r>
          </w:p>
        </w:tc>
      </w:tr>
      <w:tr>
        <w:trPr/>
        <w:tc>
          <w:tcPr>
            <w:tcW w:w="7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Term loan</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102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4" w:type="dxa"/>
            <w:tcBorders/>
            <w:vAlign w:val="center"/>
          </w:tcPr>
          <w:p>
            <w:pPr>
              <w:pStyle w:val="TableContents"/>
              <w:bidi w:val="0"/>
              <w:spacing w:lineRule="auto" w:line="285" w:before="0" w:after="0"/>
              <w:ind w:left="0" w:right="0" w:hanging="0"/>
              <w:jc w:val="left"/>
              <w:rPr/>
            </w:pPr>
            <w:r>
              <w:rPr/>
              <w:t>​</w:t>
            </w:r>
          </w:p>
        </w:tc>
        <w:tc>
          <w:tcPr>
            <w:tcW w:w="107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18,206</w:t>
            </w:r>
          </w:p>
        </w:tc>
      </w:tr>
      <w:tr>
        <w:trPr/>
        <w:tc>
          <w:tcPr>
            <w:tcW w:w="7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PIK interest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102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4" w:type="dxa"/>
            <w:tcBorders/>
            <w:shd w:fill="CCEEFF" w:val="clear"/>
            <w:vAlign w:val="center"/>
          </w:tcPr>
          <w:p>
            <w:pPr>
              <w:pStyle w:val="TableContents"/>
              <w:bidi w:val="0"/>
              <w:spacing w:lineRule="auto" w:line="285" w:before="0" w:after="0"/>
              <w:ind w:left="0" w:right="0" w:hanging="0"/>
              <w:jc w:val="left"/>
              <w:rPr/>
            </w:pPr>
            <w:r>
              <w:rPr/>
              <w:t>​</w:t>
            </w:r>
          </w:p>
        </w:tc>
        <w:tc>
          <w:tcPr>
            <w:tcW w:w="10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1,271</w:t>
            </w:r>
          </w:p>
        </w:tc>
      </w:tr>
      <w:tr>
        <w:trPr/>
        <w:tc>
          <w:tcPr>
            <w:tcW w:w="7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Debt discount</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102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4" w:type="dxa"/>
            <w:tcBorders/>
            <w:vAlign w:val="center"/>
          </w:tcPr>
          <w:p>
            <w:pPr>
              <w:pStyle w:val="TableContents"/>
              <w:bidi w:val="0"/>
              <w:spacing w:lineRule="auto" w:line="285" w:before="0" w:after="0"/>
              <w:ind w:left="0" w:right="0" w:hanging="0"/>
              <w:jc w:val="left"/>
              <w:rPr/>
            </w:pPr>
            <w:r>
              <w:rPr/>
              <w:t>​</w:t>
            </w:r>
          </w:p>
        </w:tc>
        <w:tc>
          <w:tcPr>
            <w:tcW w:w="107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7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Contract liability - long-term</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24,561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24,561</w:t>
            </w:r>
          </w:p>
        </w:tc>
      </w:tr>
      <w:tr>
        <w:trPr/>
        <w:tc>
          <w:tcPr>
            <w:tcW w:w="714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long term liabilities</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24,561</w:t>
            </w:r>
          </w:p>
        </w:tc>
        <w:tc>
          <w:tcPr>
            <w:tcW w:w="346" w:type="dxa"/>
            <w:tcBorders/>
            <w:vAlign w:val="center"/>
          </w:tcPr>
          <w:p>
            <w:pPr>
              <w:pStyle w:val="TableContents"/>
              <w:bidi w:val="0"/>
              <w:spacing w:lineRule="auto" w:line="285"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43,899</w:t>
            </w:r>
          </w:p>
        </w:tc>
      </w:tr>
      <w:tr>
        <w:trPr/>
        <w:tc>
          <w:tcPr>
            <w:tcW w:w="7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35,079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50,818</w:t>
            </w:r>
          </w:p>
        </w:tc>
      </w:tr>
      <w:tr>
        <w:trPr/>
        <w:tc>
          <w:tcPr>
            <w:tcW w:w="71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 </w:t>
            </w:r>
          </w:p>
        </w:tc>
        <w:tc>
          <w:tcPr>
            <w:tcW w:w="1026"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285" w:before="0" w:after="0"/>
              <w:ind w:left="0" w:right="0" w:hanging="0"/>
              <w:jc w:val="left"/>
              <w:rPr/>
            </w:pPr>
            <w:r>
              <w:rPr/>
              <w:t>​</w:t>
            </w:r>
          </w:p>
        </w:tc>
        <w:tc>
          <w:tcPr>
            <w:tcW w:w="254" w:type="dxa"/>
            <w:tcBorders/>
            <w:vAlign w:val="center"/>
          </w:tcPr>
          <w:p>
            <w:pPr>
              <w:pStyle w:val="TableContents"/>
              <w:bidi w:val="0"/>
              <w:spacing w:lineRule="auto" w:line="285" w:before="0" w:after="0"/>
              <w:ind w:left="0" w:right="0" w:hanging="0"/>
              <w:jc w:val="left"/>
              <w:rPr/>
            </w:pPr>
            <w:r>
              <w:rPr/>
              <w:t> </w:t>
            </w:r>
          </w:p>
        </w:tc>
        <w:tc>
          <w:tcPr>
            <w:tcW w:w="1074" w:type="dxa"/>
            <w:tcBorders/>
            <w:vAlign w:val="center"/>
          </w:tcPr>
          <w:p>
            <w:pPr>
              <w:pStyle w:val="TableContents"/>
              <w:bidi w:val="0"/>
              <w:spacing w:lineRule="auto" w:line="285" w:before="0" w:after="0"/>
              <w:ind w:left="0" w:right="0" w:hanging="0"/>
              <w:jc w:val="right"/>
              <w:rPr/>
            </w:pPr>
            <w:r>
              <w:rPr/>
              <w:t>  ​</w:t>
            </w:r>
          </w:p>
        </w:tc>
      </w:tr>
      <w:tr>
        <w:trPr/>
        <w:tc>
          <w:tcPr>
            <w:tcW w:w="7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 </w:t>
            </w:r>
          </w:p>
        </w:tc>
        <w:tc>
          <w:tcPr>
            <w:tcW w:w="102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4" w:type="dxa"/>
            <w:tcBorders/>
            <w:shd w:fill="CCEEFF" w:val="clear"/>
            <w:vAlign w:val="center"/>
          </w:tcPr>
          <w:p>
            <w:pPr>
              <w:pStyle w:val="TableContents"/>
              <w:bidi w:val="0"/>
              <w:spacing w:lineRule="auto" w:line="285" w:before="0" w:after="0"/>
              <w:ind w:left="0" w:right="0" w:hanging="0"/>
              <w:jc w:val="left"/>
              <w:rPr/>
            </w:pPr>
            <w:r>
              <w:rPr/>
              <w:t> </w:t>
            </w:r>
          </w:p>
        </w:tc>
        <w:tc>
          <w:tcPr>
            <w:tcW w:w="1074" w:type="dxa"/>
            <w:tcBorders/>
            <w:shd w:fill="CCEEFF" w:val="clear"/>
            <w:vAlign w:val="center"/>
          </w:tcPr>
          <w:p>
            <w:pPr>
              <w:pStyle w:val="TableContents"/>
              <w:bidi w:val="0"/>
              <w:spacing w:lineRule="auto" w:line="285" w:before="0" w:after="0"/>
              <w:ind w:left="0" w:right="0" w:hanging="0"/>
              <w:jc w:val="right"/>
              <w:rPr/>
            </w:pPr>
            <w:r>
              <w:rPr/>
              <w:t>  ​</w:t>
            </w:r>
          </w:p>
        </w:tc>
      </w:tr>
      <w:tr>
        <w:trPr/>
        <w:tc>
          <w:tcPr>
            <w:tcW w:w="714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 </w:t>
            </w:r>
          </w:p>
        </w:tc>
        <w:tc>
          <w:tcPr>
            <w:tcW w:w="1026"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285" w:before="0" w:after="0"/>
              <w:ind w:left="0" w:right="0" w:hanging="0"/>
              <w:jc w:val="left"/>
              <w:rPr/>
            </w:pPr>
            <w:r>
              <w:rPr/>
              <w:t>​</w:t>
            </w:r>
          </w:p>
        </w:tc>
        <w:tc>
          <w:tcPr>
            <w:tcW w:w="254" w:type="dxa"/>
            <w:tcBorders/>
            <w:vAlign w:val="center"/>
          </w:tcPr>
          <w:p>
            <w:pPr>
              <w:pStyle w:val="TableContents"/>
              <w:bidi w:val="0"/>
              <w:spacing w:lineRule="auto" w:line="285" w:before="0" w:after="0"/>
              <w:ind w:left="0" w:right="0" w:hanging="0"/>
              <w:jc w:val="left"/>
              <w:rPr/>
            </w:pPr>
            <w:r>
              <w:rPr/>
              <w:t> </w:t>
            </w:r>
          </w:p>
        </w:tc>
        <w:tc>
          <w:tcPr>
            <w:tcW w:w="1074" w:type="dxa"/>
            <w:tcBorders/>
            <w:vAlign w:val="center"/>
          </w:tcPr>
          <w:p>
            <w:pPr>
              <w:pStyle w:val="TableContents"/>
              <w:bidi w:val="0"/>
              <w:spacing w:lineRule="auto" w:line="285" w:before="0" w:after="0"/>
              <w:ind w:left="0" w:right="0" w:hanging="0"/>
              <w:jc w:val="right"/>
              <w:rPr/>
            </w:pPr>
            <w:r>
              <w:rPr/>
              <w:t>  ​</w:t>
            </w:r>
          </w:p>
        </w:tc>
      </w:tr>
      <w:tr>
        <w:trPr/>
        <w:tc>
          <w:tcPr>
            <w:tcW w:w="7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Shareholders’(deficit) equity:</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 </w:t>
            </w:r>
          </w:p>
        </w:tc>
        <w:tc>
          <w:tcPr>
            <w:tcW w:w="102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4" w:type="dxa"/>
            <w:tcBorders/>
            <w:shd w:fill="CCEEFF" w:val="clear"/>
            <w:vAlign w:val="center"/>
          </w:tcPr>
          <w:p>
            <w:pPr>
              <w:pStyle w:val="TableContents"/>
              <w:bidi w:val="0"/>
              <w:spacing w:lineRule="auto" w:line="285" w:before="0" w:after="0"/>
              <w:ind w:left="0" w:right="0" w:hanging="0"/>
              <w:jc w:val="left"/>
              <w:rPr/>
            </w:pPr>
            <w:r>
              <w:rPr/>
              <w:t> </w:t>
            </w:r>
          </w:p>
        </w:tc>
        <w:tc>
          <w:tcPr>
            <w:tcW w:w="1074" w:type="dxa"/>
            <w:tcBorders/>
            <w:shd w:fill="CCEEFF" w:val="clear"/>
            <w:vAlign w:val="center"/>
          </w:tcPr>
          <w:p>
            <w:pPr>
              <w:pStyle w:val="TableContents"/>
              <w:bidi w:val="0"/>
              <w:spacing w:lineRule="auto" w:line="285" w:before="0" w:after="0"/>
              <w:ind w:left="0" w:right="0" w:hanging="0"/>
              <w:jc w:val="right"/>
              <w:rPr/>
            </w:pPr>
            <w:r>
              <w:rPr/>
              <w:t>  ​</w:t>
            </w:r>
          </w:p>
        </w:tc>
      </w:tr>
      <w:tr>
        <w:trPr/>
        <w:tc>
          <w:tcPr>
            <w:tcW w:w="7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Common stock, no par value; unlimited shares authorized; 27,292 shares issued and outstanding (2024 -27,527)</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 </w:t>
            </w:r>
          </w:p>
        </w:tc>
        <w:tc>
          <w:tcPr>
            <w:tcW w:w="10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189,906</w:t>
            </w:r>
          </w:p>
        </w:tc>
        <w:tc>
          <w:tcPr>
            <w:tcW w:w="346" w:type="dxa"/>
            <w:tcBorders/>
            <w:vAlign w:val="center"/>
          </w:tcPr>
          <w:p>
            <w:pPr>
              <w:pStyle w:val="TableContents"/>
              <w:bidi w:val="0"/>
              <w:spacing w:lineRule="auto" w:line="285" w:before="0" w:after="0"/>
              <w:ind w:left="0" w:right="0" w:hanging="0"/>
              <w:jc w:val="left"/>
              <w:rPr/>
            </w:pPr>
            <w:r>
              <w:rPr/>
              <w:t>​</w:t>
            </w:r>
          </w:p>
        </w:tc>
        <w:tc>
          <w:tcPr>
            <w:tcW w:w="254" w:type="dxa"/>
            <w:tcBorders/>
            <w:vAlign w:val="center"/>
          </w:tcPr>
          <w:p>
            <w:pPr>
              <w:pStyle w:val="TableContents"/>
              <w:bidi w:val="0"/>
              <w:spacing w:lineRule="auto" w:line="285" w:before="0" w:after="0"/>
              <w:ind w:left="0" w:right="0" w:hanging="0"/>
              <w:jc w:val="left"/>
              <w:rPr/>
            </w:pPr>
            <w:r>
              <w:rPr/>
              <w:t> </w:t>
            </w:r>
          </w:p>
        </w:tc>
        <w:tc>
          <w:tcPr>
            <w:tcW w:w="107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145,608</w:t>
            </w:r>
          </w:p>
        </w:tc>
      </w:tr>
      <w:tr>
        <w:trPr/>
        <w:tc>
          <w:tcPr>
            <w:tcW w:w="7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 </w:t>
            </w:r>
          </w:p>
        </w:tc>
        <w:tc>
          <w:tcPr>
            <w:tcW w:w="10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73,745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4" w:type="dxa"/>
            <w:tcBorders/>
            <w:shd w:fill="CCEEFF" w:val="clear"/>
            <w:vAlign w:val="center"/>
          </w:tcPr>
          <w:p>
            <w:pPr>
              <w:pStyle w:val="TableContents"/>
              <w:bidi w:val="0"/>
              <w:spacing w:lineRule="auto" w:line="285" w:before="0" w:after="0"/>
              <w:ind w:left="0" w:right="0" w:hanging="0"/>
              <w:jc w:val="left"/>
              <w:rPr/>
            </w:pPr>
            <w:r>
              <w:rPr/>
              <w:t> </w:t>
            </w:r>
          </w:p>
        </w:tc>
        <w:tc>
          <w:tcPr>
            <w:tcW w:w="10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66,958</w:t>
            </w:r>
          </w:p>
        </w:tc>
      </w:tr>
      <w:tr>
        <w:trPr/>
        <w:tc>
          <w:tcPr>
            <w:tcW w:w="7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 </w:t>
            </w:r>
          </w:p>
        </w:tc>
        <w:tc>
          <w:tcPr>
            <w:tcW w:w="102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(229,779)</w:t>
            </w:r>
          </w:p>
        </w:tc>
        <w:tc>
          <w:tcPr>
            <w:tcW w:w="346" w:type="dxa"/>
            <w:tcBorders/>
            <w:vAlign w:val="center"/>
          </w:tcPr>
          <w:p>
            <w:pPr>
              <w:pStyle w:val="TableContents"/>
              <w:bidi w:val="0"/>
              <w:spacing w:lineRule="auto" w:line="285" w:before="0" w:after="0"/>
              <w:ind w:left="0" w:right="0" w:hanging="0"/>
              <w:jc w:val="left"/>
              <w:rPr/>
            </w:pPr>
            <w:r>
              <w:rPr/>
              <w:t>​</w:t>
            </w:r>
          </w:p>
        </w:tc>
        <w:tc>
          <w:tcPr>
            <w:tcW w:w="254" w:type="dxa"/>
            <w:tcBorders/>
            <w:vAlign w:val="center"/>
          </w:tcPr>
          <w:p>
            <w:pPr>
              <w:pStyle w:val="TableContents"/>
              <w:bidi w:val="0"/>
              <w:spacing w:lineRule="auto" w:line="285" w:before="0" w:after="0"/>
              <w:ind w:left="0" w:right="0" w:hanging="0"/>
              <w:jc w:val="left"/>
              <w:rPr/>
            </w:pPr>
            <w:r>
              <w:rPr/>
              <w:t> </w:t>
            </w:r>
          </w:p>
        </w:tc>
        <w:tc>
          <w:tcPr>
            <w:tcW w:w="107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(219,681)</w:t>
            </w:r>
          </w:p>
        </w:tc>
      </w:tr>
      <w:tr>
        <w:trPr/>
        <w:tc>
          <w:tcPr>
            <w:tcW w:w="7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1,243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1,243</w:t>
            </w:r>
          </w:p>
        </w:tc>
      </w:tr>
      <w:tr>
        <w:trPr/>
        <w:tc>
          <w:tcPr>
            <w:tcW w:w="714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shareholders’ (deficit) equity</w:t>
            </w:r>
          </w:p>
        </w:tc>
        <w:tc>
          <w:tcPr>
            <w:tcW w:w="109" w:type="dxa"/>
            <w:tcBorders/>
            <w:vAlign w:val="center"/>
          </w:tcPr>
          <w:p>
            <w:pPr>
              <w:pStyle w:val="TableContents"/>
              <w:bidi w:val="0"/>
              <w:spacing w:lineRule="auto" w:line="285"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35,115</w:t>
            </w:r>
          </w:p>
        </w:tc>
        <w:tc>
          <w:tcPr>
            <w:tcW w:w="346" w:type="dxa"/>
            <w:tcBorders/>
            <w:vAlign w:val="center"/>
          </w:tcPr>
          <w:p>
            <w:pPr>
              <w:pStyle w:val="TableContents"/>
              <w:bidi w:val="0"/>
              <w:spacing w:lineRule="auto" w:line="285"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(5,872)</w:t>
            </w:r>
          </w:p>
        </w:tc>
      </w:tr>
      <w:tr>
        <w:trPr/>
        <w:tc>
          <w:tcPr>
            <w:tcW w:w="71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shareholders’ (deficit) equity</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70,194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4"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44,946</w:t>
            </w:r>
          </w:p>
        </w:tc>
      </w:tr>
    </w:tbl>
    <w:p>
      <w:pPr>
        <w:pStyle w:val="TextBody"/>
        <w:bidi w:val="0"/>
        <w:spacing w:lineRule="auto" w:line="285" w:before="0" w:after="0"/>
        <w:ind w:left="0" w:right="0" w:hanging="0"/>
        <w:jc w:val="both"/>
        <w:rPr>
          <w:shd w:fill="FFFFFF" w:val="clear"/>
        </w:rPr>
      </w:pPr>
      <w:r>
        <w:rPr>
          <w:shd w:fill="FFFFFF" w:val="clear"/>
        </w:rPr>
        <w:t>​</w:t>
      </w:r>
    </w:p>
    <w:p>
      <w:pPr>
        <w:pStyle w:val="TextBody"/>
        <w:bidi w:val="0"/>
        <w:spacing w:lineRule="auto" w:line="285" w:before="0" w:after="0"/>
        <w:ind w:left="0" w:right="0" w:hanging="0"/>
        <w:jc w:val="both"/>
        <w:rPr>
          <w:rFonts w:ascii="Helvetica;sans-serif" w:hAnsi="Helvetica;sans-serif"/>
          <w:b/>
          <w:sz w:val="24"/>
          <w:shd w:fill="FFFFFF" w:val="clear"/>
        </w:rPr>
      </w:pPr>
      <w:r>
        <w:rPr>
          <w:rFonts w:ascii="Helvetica;sans-serif" w:hAnsi="Helvetica;sans-serif"/>
          <w:b/>
          <w:sz w:val="24"/>
          <w:shd w:fill="FFFFFF" w:val="clear"/>
        </w:rPr>
        <w:t>About Cisplatin-Induced Ototoxicity</w:t>
      </w:r>
    </w:p>
    <w:p>
      <w:pPr>
        <w:pStyle w:val="TextBody"/>
        <w:bidi w:val="0"/>
        <w:spacing w:lineRule="auto" w:line="285" w:before="0" w:after="0"/>
        <w:ind w:left="0" w:right="0" w:hanging="0"/>
        <w:jc w:val="both"/>
        <w:rPr/>
      </w:pPr>
      <w:r>
        <w:rPr>
          <w:rFonts w:ascii="Helvetica;sans-serif" w:hAnsi="Helvetica;sans-serif"/>
          <w:sz w:val="24"/>
          <w:shd w:fill="FFFFFF" w:val="clear"/>
        </w:rPr>
        <w:t>Cisplatin and other platinum-based chemotherapies are widely used to treat solid tumors and have been vital in improving survival rates. Unfortunately, these life-saving treatments often result in permanent, irreversible hearing loss, also known as ototoxicity.</w:t>
      </w:r>
      <w:hyperlink w:anchor="endnote-2">
        <w:r>
          <w:rPr>
            <w:rStyle w:val="InternetLink"/>
            <w:rFonts w:ascii="Helvetica;sans-serif" w:hAnsi="Helvetica;sans-serif"/>
            <w:sz w:val="18"/>
            <w:shd w:fill="FFFFFF" w:val="clear"/>
          </w:rPr>
          <w:t>i</w:t>
        </w:r>
      </w:hyperlink>
    </w:p>
    <w:p>
      <w:pPr>
        <w:pStyle w:val="TextBody"/>
        <w:bidi w:val="0"/>
        <w:spacing w:lineRule="auto" w:line="285" w:before="0" w:after="0"/>
        <w:ind w:left="0" w:right="0" w:hanging="0"/>
        <w:jc w:val="both"/>
        <w:rPr>
          <w:shd w:fill="FFFFFF" w:val="clear"/>
        </w:rPr>
      </w:pPr>
      <w:r>
        <w:rPr>
          <w:shd w:fill="FFFFFF" w:val="clear"/>
        </w:rPr>
        <w:t>​</w:t>
      </w:r>
    </w:p>
    <w:p>
      <w:pPr>
        <w:pStyle w:val="TextBody"/>
        <w:bidi w:val="0"/>
        <w:spacing w:lineRule="auto" w:line="285" w:before="0" w:after="0"/>
        <w:ind w:left="0" w:right="0" w:hanging="0"/>
        <w:jc w:val="both"/>
        <w:rPr/>
      </w:pPr>
      <w:r>
        <w:rPr>
          <w:rFonts w:ascii="Helvetica;sans-serif" w:hAnsi="Helvetica;sans-serif"/>
          <w:sz w:val="24"/>
          <w:shd w:fill="FFFFFF" w:val="clear"/>
        </w:rPr>
        <w:t>Hearing loss from cisplatin treatment is not rare. Studies show that between 60-90% of patients treated with cisplatin may develop hearing loss, depending upon the dose and duration of chemotherapy.</w:t>
      </w:r>
      <w:hyperlink w:anchor="endnote-3">
        <w:r>
          <w:rPr>
            <w:rStyle w:val="InternetLink"/>
            <w:rFonts w:ascii="Helvetica;sans-serif" w:hAnsi="Helvetica;sans-serif"/>
            <w:sz w:val="18"/>
            <w:shd w:fill="FFFFFF" w:val="clear"/>
          </w:rPr>
          <w:t>ii</w:t>
        </w:r>
      </w:hyperlink>
      <w:r>
        <w:rPr>
          <w:rFonts w:ascii="Times New Roman;Times;serif" w:hAnsi="Times New Roman;Times;serif"/>
          <w:sz w:val="20"/>
          <w:shd w:fill="FFFFFF" w:val="clear"/>
        </w:rPr>
        <w:t xml:space="preserve"> </w:t>
      </w:r>
      <w:r>
        <w:rPr>
          <w:rFonts w:ascii="Helvetica;sans-serif" w:hAnsi="Helvetica;sans-serif"/>
          <w:sz w:val="24"/>
          <w:shd w:fill="FFFFFF" w:val="clear"/>
        </w:rPr>
        <w:t>Many of those treated with cisplatin will require lifelong hearing aids or cochlear implants, which can be helpful for some, but do not reverse the hearing loss and can be costly over time.</w:t>
      </w:r>
      <w:hyperlink w:anchor="endnote-4">
        <w:r>
          <w:rPr>
            <w:rStyle w:val="InternetLink"/>
            <w:rFonts w:ascii="Helvetica;sans-serif" w:hAnsi="Helvetica;sans-serif"/>
            <w:sz w:val="18"/>
            <w:shd w:fill="FFFFFF" w:val="clear"/>
          </w:rPr>
          <w:t>iii</w:t>
        </w:r>
      </w:hyperlink>
      <w:r>
        <w:rPr>
          <w:rFonts w:ascii="Times New Roman;Times;serif" w:hAnsi="Times New Roman;Times;serif"/>
          <w:sz w:val="20"/>
          <w:shd w:fill="FFFFFF" w:val="clear"/>
        </w:rPr>
        <w:t> </w:t>
      </w:r>
      <w:r>
        <w:rPr>
          <w:rFonts w:ascii="Helvetica;sans-serif" w:hAnsi="Helvetica;sans-serif"/>
          <w:sz w:val="24"/>
          <w:shd w:fill="FFFFFF" w:val="clear"/>
        </w:rPr>
        <w:t>Treatment-induced hearing loss can reduce quality of survivorship as it impacts many aspects of life, such as speech and language skills, academic performance, social-emotional development, career potential and the ability to live independently.</w:t>
      </w:r>
      <w:hyperlink w:anchor="endnote-5">
        <w:r>
          <w:rPr>
            <w:rStyle w:val="InternetLink"/>
            <w:rFonts w:ascii="Helvetica;sans-serif" w:hAnsi="Helvetica;sans-serif"/>
            <w:sz w:val="18"/>
            <w:shd w:fill="FFFFFF" w:val="clear"/>
          </w:rPr>
          <w:t>iv</w:t>
        </w:r>
      </w:hyperlink>
      <w:r>
        <w:rPr>
          <w:rFonts w:ascii="Helvetica;sans-serif" w:hAnsi="Helvetica;sans-serif"/>
          <w:sz w:val="18"/>
          <w:shd w:fill="FFFFFF" w:val="clear"/>
        </w:rPr>
        <w:t>,</w:t>
      </w:r>
      <w:hyperlink w:anchor="endnote-6">
        <w:r>
          <w:rPr>
            <w:rStyle w:val="InternetLink"/>
            <w:rFonts w:ascii="Helvetica;sans-serif" w:hAnsi="Helvetica;sans-serif"/>
            <w:sz w:val="18"/>
            <w:shd w:fill="FFFFFF" w:val="clear"/>
          </w:rPr>
          <w:t>v</w:t>
        </w:r>
      </w:hyperlink>
      <w:r>
        <w:rPr>
          <w:rFonts w:ascii="Times New Roman;Times;serif" w:hAnsi="Times New Roman;Times;serif"/>
          <w:sz w:val="20"/>
          <w:shd w:fill="FFFFFF" w:val="clear"/>
        </w:rPr>
        <w:t> </w:t>
      </w:r>
      <w:r>
        <w:rPr>
          <w:rFonts w:ascii="Helvetica;sans-serif" w:hAnsi="Helvetica;sans-serif"/>
          <w:sz w:val="24"/>
          <w:shd w:fill="FFFFFF" w:val="clear"/>
        </w:rPr>
        <w:t>While audiologic monitoring is recommended to help manage ototoxicity, it is currently underutilized in certain cancer patient populations.</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shd w:fill="FFFFFF" w:val="clear"/>
        </w:rPr>
      </w:pPr>
      <w:r>
        <w:rPr>
          <w:shd w:fill="FFFFFF" w:val="clear"/>
        </w:rPr>
        <w:t>​</w:t>
      </w:r>
    </w:p>
    <w:p>
      <w:pPr>
        <w:pStyle w:val="TextBody"/>
        <w:bidi w:val="0"/>
        <w:spacing w:lineRule="auto" w:line="285" w:before="0" w:after="0"/>
        <w:ind w:left="0" w:right="0" w:hanging="0"/>
        <w:jc w:val="left"/>
        <w:rPr>
          <w:rFonts w:ascii="Helvetica;sans-serif" w:hAnsi="Helvetica;sans-serif"/>
          <w:b/>
          <w:sz w:val="24"/>
          <w:shd w:fill="FFFFFF" w:val="clear"/>
        </w:rPr>
      </w:pPr>
      <w:r>
        <w:rPr>
          <w:rFonts w:ascii="Helvetica;sans-serif" w:hAnsi="Helvetica;sans-serif"/>
          <w:b/>
          <w:sz w:val="24"/>
          <w:shd w:fill="FFFFFF" w:val="clear"/>
        </w:rPr>
        <w:t>PEDMARK® (sodium thiosulfate injection)</w:t>
      </w:r>
    </w:p>
    <w:p>
      <w:pPr>
        <w:pStyle w:val="TextBody"/>
        <w:bidi w:val="0"/>
        <w:spacing w:lineRule="auto" w:line="285" w:before="0" w:after="0"/>
        <w:ind w:left="0" w:right="0" w:hanging="0"/>
        <w:jc w:val="both"/>
        <w:rPr/>
      </w:pPr>
      <w:r>
        <w:rPr>
          <w:shd w:fill="FFFFFF" w:val="clear"/>
        </w:rPr>
        <w:t>​</w:t>
      </w:r>
      <w:r>
        <w:rPr>
          <w:rFonts w:ascii="Helvetica;sans-serif" w:hAnsi="Helvetica;sans-serif"/>
          <w:sz w:val="24"/>
          <w:shd w:fill="FFFFFF" w:val="clear"/>
        </w:rPr>
        <w:br/>
        <w:t>PEDMARK</w:t>
      </w:r>
      <w:r>
        <w:rPr>
          <w:rFonts w:ascii="Helvetica;sans-serif" w:hAnsi="Helvetica;sans-serif"/>
          <w:sz w:val="18"/>
          <w:shd w:fill="FFFFFF" w:val="clear"/>
        </w:rPr>
        <w:t>®</w:t>
      </w:r>
      <w:r>
        <w:rPr>
          <w:rFonts w:ascii="Times New Roman;Times;serif" w:hAnsi="Times New Roman;Times;serif"/>
          <w:sz w:val="20"/>
          <w:shd w:fill="FFFFFF" w:val="clear"/>
        </w:rPr>
        <w:t> </w:t>
      </w:r>
      <w:r>
        <w:rPr>
          <w:rFonts w:ascii="Helvetica;sans-serif" w:hAnsi="Helvetica;sans-serif"/>
          <w:sz w:val="24"/>
          <w:shd w:fill="FFFFFF" w:val="clear"/>
        </w:rPr>
        <w:t>is the first and only U.S. Food and Drug Administration (FDA) approved therapy indicated to reduce the risk of ototoxicity associated with cisplatin treatment in pediatric patients 1 month of age and older with localized, non-metastatic, solid tumors. It is a unique formulation of sodium thiosulfate in single-dose, ready-to-use vials for intravenous use in pediatric patients. PEDMARK is also the first and only therapeutic agent with proven efficacy and safety data with an established dosing regimen, across two open-label, randomized Phase 3 clinical studies, the Children’s Oncology Group (COG) Protocol ACCL0431 and SIOPEL 6.</w:t>
      </w:r>
    </w:p>
    <w:p>
      <w:pPr>
        <w:pStyle w:val="TextBody"/>
        <w:bidi w:val="0"/>
        <w:spacing w:lineRule="auto" w:line="285" w:before="0" w:after="0"/>
        <w:ind w:left="0" w:right="0" w:hanging="0"/>
        <w:jc w:val="both"/>
        <w:rPr>
          <w:shd w:fill="FFFFFF" w:val="clear"/>
        </w:rPr>
      </w:pPr>
      <w:r>
        <w:rPr>
          <w:shd w:fill="FFFFFF" w:val="clear"/>
        </w:rPr>
        <w:t>​</w:t>
      </w:r>
    </w:p>
    <w:p>
      <w:pPr>
        <w:pStyle w:val="TextBody"/>
        <w:bidi w:val="0"/>
        <w:spacing w:lineRule="auto" w:line="285" w:before="0" w:after="0"/>
        <w:ind w:left="0" w:right="0" w:hanging="0"/>
        <w:jc w:val="both"/>
        <w:rPr>
          <w:rFonts w:ascii="Helvetica;sans-serif" w:hAnsi="Helvetica;sans-serif"/>
          <w:sz w:val="24"/>
          <w:shd w:fill="FFFFFF" w:val="clear"/>
        </w:rPr>
      </w:pPr>
      <w:r>
        <w:rPr>
          <w:rFonts w:ascii="Helvetica;sans-serif" w:hAnsi="Helvetica;sans-serif"/>
          <w:sz w:val="24"/>
          <w:shd w:fill="FFFFFF" w:val="clear"/>
        </w:rPr>
        <w:t>Additionally, PEDMARK is recommended for the adolescent and young adult (AYA) population by the National Comprehensive Cancer Network, or NCCN, with a 2A endorsement.</w:t>
      </w:r>
    </w:p>
    <w:p>
      <w:pPr>
        <w:pStyle w:val="TextBody"/>
        <w:bidi w:val="0"/>
        <w:spacing w:lineRule="auto" w:line="285" w:before="0" w:after="0"/>
        <w:ind w:left="0" w:right="0" w:hanging="0"/>
        <w:jc w:val="both"/>
        <w:rPr>
          <w:shd w:fill="FFFFFF" w:val="clear"/>
        </w:rPr>
      </w:pPr>
      <w:r>
        <w:rPr>
          <w:shd w:fill="FFFFFF" w:val="clear"/>
        </w:rPr>
        <w:t>​</w:t>
      </w:r>
    </w:p>
    <w:p>
      <w:pPr>
        <w:pStyle w:val="TextBody"/>
        <w:bidi w:val="0"/>
        <w:spacing w:lineRule="auto" w:line="285" w:before="0" w:after="0"/>
        <w:ind w:left="0" w:right="0" w:hanging="0"/>
        <w:jc w:val="both"/>
        <w:rPr/>
      </w:pPr>
      <w:r>
        <w:rPr>
          <w:rFonts w:ascii="Helvetica;sans-serif" w:hAnsi="Helvetica;sans-serif"/>
          <w:sz w:val="24"/>
          <w:shd w:fill="FFFFFF" w:val="clear"/>
        </w:rPr>
        <w:t>Approximately 500,000 patients in the U.S. are diagnosed annually with cancers that could be treated with a platinum-based chemotherapy.</w:t>
      </w:r>
      <w:hyperlink w:anchor="endnote-7">
        <w:r>
          <w:rPr>
            <w:rStyle w:val="InternetLink"/>
            <w:rFonts w:ascii="Helvetica;sans-serif" w:hAnsi="Helvetica;sans-serif"/>
            <w:sz w:val="18"/>
            <w:shd w:fill="FFFFFF" w:val="clear"/>
          </w:rPr>
          <w:t>vi</w:t>
        </w:r>
      </w:hyperlink>
      <w:r>
        <w:rPr>
          <w:rFonts w:ascii="Helvetica;sans-serif" w:hAnsi="Helvetica;sans-serif"/>
          <w:sz w:val="18"/>
          <w:shd w:fill="FFFFFF" w:val="clear"/>
        </w:rPr>
        <w:t>,</w:t>
      </w:r>
      <w:hyperlink w:anchor="endnote-8">
        <w:r>
          <w:rPr>
            <w:rStyle w:val="InternetLink"/>
            <w:rFonts w:ascii="Helvetica;sans-serif" w:hAnsi="Helvetica;sans-serif"/>
            <w:sz w:val="18"/>
            <w:shd w:fill="FFFFFF" w:val="clear"/>
          </w:rPr>
          <w:t>vii</w:t>
        </w:r>
      </w:hyperlink>
      <w:r>
        <w:rPr>
          <w:rFonts w:ascii="Times New Roman;Times;serif" w:hAnsi="Times New Roman;Times;serif"/>
          <w:sz w:val="20"/>
          <w:shd w:fill="FFFFFF" w:val="clear"/>
        </w:rPr>
        <w:t xml:space="preserve"> </w:t>
      </w:r>
      <w:r>
        <w:rPr>
          <w:rFonts w:ascii="Helvetica;sans-serif" w:hAnsi="Helvetica;sans-serif"/>
          <w:sz w:val="24"/>
          <w:shd w:fill="FFFFFF" w:val="clear"/>
        </w:rPr>
        <w:t>The incidence of ototoxicity depends upon the dose and duration of chemotherapy, and many of those treated will require lifelong hearing aids. Until the FDA approval of PEDMARK, there were no preventative agents for this hearing loss. Patients with hearing loss resulting from cancer treatment have a statistically significant worse quality of life compared with peers who have no hearing loss.</w:t>
      </w:r>
      <w:hyperlink w:anchor="endnote-9">
        <w:r>
          <w:rPr>
            <w:rStyle w:val="InternetLink"/>
            <w:rFonts w:ascii="Helvetica;sans-serif" w:hAnsi="Helvetica;sans-serif"/>
            <w:sz w:val="18"/>
            <w:shd w:fill="FFFFFF" w:val="clear"/>
          </w:rPr>
          <w:t>viii</w:t>
        </w:r>
      </w:hyperlink>
      <w:r>
        <w:rPr>
          <w:rFonts w:ascii="Helvetica;sans-serif" w:hAnsi="Helvetica;sans-serif"/>
          <w:sz w:val="18"/>
          <w:shd w:fill="FFFFFF" w:val="clear"/>
        </w:rPr>
        <w:t>,</w:t>
      </w:r>
      <w:hyperlink w:anchor="endnote-10">
        <w:r>
          <w:rPr>
            <w:rStyle w:val="InternetLink"/>
            <w:rFonts w:ascii="Helvetica;sans-serif" w:hAnsi="Helvetica;sans-serif"/>
            <w:sz w:val="18"/>
            <w:shd w:fill="FFFFFF" w:val="clear"/>
          </w:rPr>
          <w:t>ix</w:t>
        </w:r>
      </w:hyperlink>
    </w:p>
    <w:p>
      <w:pPr>
        <w:pStyle w:val="TextBody"/>
        <w:bidi w:val="0"/>
        <w:spacing w:lineRule="auto" w:line="285" w:before="0" w:after="0"/>
        <w:ind w:left="0" w:right="0" w:hanging="0"/>
        <w:jc w:val="both"/>
        <w:rPr>
          <w:shd w:fill="FFFFFF" w:val="clear"/>
        </w:rPr>
      </w:pPr>
      <w:r>
        <w:rPr>
          <w:shd w:fill="FFFFFF" w:val="clear"/>
        </w:rPr>
        <w:t>​</w:t>
      </w:r>
    </w:p>
    <w:p>
      <w:pPr>
        <w:pStyle w:val="TextBody"/>
        <w:bidi w:val="0"/>
        <w:spacing w:lineRule="auto" w:line="285" w:before="0" w:after="0"/>
        <w:ind w:left="0" w:right="0" w:hanging="0"/>
        <w:jc w:val="both"/>
        <w:rPr>
          <w:rFonts w:ascii="Helvetica;sans-serif" w:hAnsi="Helvetica;sans-serif"/>
          <w:sz w:val="24"/>
          <w:shd w:fill="FFFFFF" w:val="clear"/>
        </w:rPr>
      </w:pPr>
      <w:r>
        <w:rPr>
          <w:rFonts w:ascii="Helvetica;sans-serif" w:hAnsi="Helvetica;sans-serif"/>
          <w:sz w:val="24"/>
          <w:shd w:fill="FFFFFF" w:val="clear"/>
        </w:rPr>
        <w:t>PEDMARK has been studied by co-operative groups in two Phase 3 clinical studies of survival and reduction of ototoxicity, COG ACCL0431 and SIOPEL 6. Both studies have been completed. The COG ACCL0431 protocol enrolled childhood cancers typically treated with intensive cisplatin therapy for localized and disseminated disease, including newly diagnosed hepatoblastoma, germ cell tumor, osteosarcoma, neuroblastoma, medulloblastoma, and other solid tumors. SIOPEL 6 enrolled only hepatoblastoma patients with localized tumors.</w:t>
      </w:r>
    </w:p>
    <w:p>
      <w:pPr>
        <w:pStyle w:val="TextBody"/>
        <w:bidi w:val="0"/>
        <w:spacing w:lineRule="auto" w:line="285" w:before="0" w:after="0"/>
        <w:ind w:left="0" w:right="0" w:hanging="0"/>
        <w:jc w:val="both"/>
        <w:rPr>
          <w:shd w:fill="FFFFFF" w:val="clear"/>
        </w:rPr>
      </w:pPr>
      <w:r>
        <w:rPr>
          <w:shd w:fill="FFFFFF" w:val="clear"/>
        </w:rPr>
        <w:t>​</w:t>
      </w:r>
    </w:p>
    <w:p>
      <w:pPr>
        <w:pStyle w:val="TextBody"/>
        <w:bidi w:val="0"/>
        <w:spacing w:lineRule="auto" w:line="285" w:before="0" w:after="0"/>
        <w:ind w:left="0" w:right="0" w:hanging="0"/>
        <w:jc w:val="left"/>
        <w:rPr>
          <w:rFonts w:ascii="Times New Roman;Times;serif" w:hAnsi="Times New Roman;Times;serif"/>
          <w:sz w:val="20"/>
        </w:rPr>
      </w:pPr>
      <w:r>
        <w:rPr>
          <w:rFonts w:ascii="Helvetica;sans-serif" w:hAnsi="Helvetica;sans-serif"/>
          <w:b/>
          <w:sz w:val="24"/>
          <w:shd w:fill="FFFFFF" w:val="clear"/>
        </w:rPr>
        <w:t>Indications and Usage</w:t>
      </w:r>
      <w:r>
        <w:rPr>
          <w:rFonts w:ascii="Helvetica;sans-serif" w:hAnsi="Helvetica;sans-serif"/>
          <w:sz w:val="24"/>
          <w:shd w:fill="FFFFFF" w:val="clear"/>
        </w:rPr>
        <w:br/>
        <w:t>PEDMARK</w:t>
      </w:r>
      <w:r>
        <w:rPr>
          <w:rFonts w:ascii="Helvetica;sans-serif" w:hAnsi="Helvetica;sans-serif"/>
          <w:sz w:val="18"/>
          <w:shd w:fill="FFFFFF" w:val="clear"/>
        </w:rPr>
        <w:t>®</w:t>
      </w:r>
      <w:r>
        <w:rPr>
          <w:rFonts w:ascii="Times New Roman;Times;serif" w:hAnsi="Times New Roman;Times;serif"/>
          <w:sz w:val="20"/>
          <w:shd w:fill="FFFFFF" w:val="clear"/>
        </w:rPr>
        <w:t> </w:t>
      </w:r>
      <w:r>
        <w:rPr>
          <w:rFonts w:ascii="Helvetica;sans-serif" w:hAnsi="Helvetica;sans-serif"/>
          <w:sz w:val="24"/>
          <w:shd w:fill="FFFFFF" w:val="clear"/>
        </w:rPr>
        <w:t>(sodium thiosulfate injection) is indicated to reduce the risk of ototoxicity associated with cisplatin in pediatric patients 1 month of age and older with localized, non-metastatic solid tumors.</w:t>
      </w:r>
    </w:p>
    <w:p>
      <w:pPr>
        <w:pStyle w:val="TextBody"/>
        <w:bidi w:val="0"/>
        <w:spacing w:lineRule="auto" w:line="285" w:before="0" w:after="0"/>
        <w:ind w:left="0" w:right="0" w:hanging="0"/>
        <w:jc w:val="both"/>
        <w:rPr>
          <w:shd w:fill="FFFFFF" w:val="clear"/>
        </w:rPr>
      </w:pPr>
      <w:r>
        <w:rPr>
          <w:shd w:fill="FFFFFF" w:val="clear"/>
        </w:rPr>
        <w:t>​</w:t>
      </w:r>
    </w:p>
    <w:p>
      <w:pPr>
        <w:pStyle w:val="TextBody"/>
        <w:bidi w:val="0"/>
        <w:spacing w:lineRule="auto" w:line="285" w:before="0" w:after="0"/>
        <w:ind w:left="0" w:right="0" w:hanging="0"/>
        <w:jc w:val="left"/>
        <w:rPr>
          <w:rFonts w:ascii="Times New Roman;Times;serif" w:hAnsi="Times New Roman;Times;serif"/>
          <w:sz w:val="20"/>
        </w:rPr>
      </w:pPr>
      <w:r>
        <w:rPr>
          <w:rFonts w:ascii="Helvetica;sans-serif" w:hAnsi="Helvetica;sans-serif"/>
          <w:b/>
          <w:sz w:val="24"/>
          <w:shd w:fill="FFFFFF" w:val="clear"/>
        </w:rPr>
        <w:t>Limitations of Use</w:t>
      </w:r>
      <w:r>
        <w:rPr>
          <w:rFonts w:ascii="Helvetica;sans-serif" w:hAnsi="Helvetica;sans-serif"/>
          <w:sz w:val="24"/>
          <w:shd w:fill="FFFFFF" w:val="clear"/>
        </w:rPr>
        <w:br/>
        <w:t>The safety and efficacy of PEDMARK have not been established when administered following cisplatin infusions longer than 6 hours. PEDMARK may not reduce the risk of ototoxicity when administered following longer cisplatin infusions, because irreversible ototoxicity may have already occurred.</w:t>
      </w:r>
    </w:p>
    <w:p>
      <w:pPr>
        <w:pStyle w:val="TextBody"/>
        <w:bidi w:val="0"/>
        <w:spacing w:lineRule="auto" w:line="285" w:before="0" w:after="0"/>
        <w:ind w:left="0" w:right="0" w:hanging="0"/>
        <w:jc w:val="both"/>
        <w:rPr>
          <w:shd w:fill="FFFFFF" w:val="clear"/>
        </w:rPr>
      </w:pPr>
      <w:r>
        <w:rPr>
          <w:shd w:fill="FFFFFF" w:val="clear"/>
        </w:rPr>
        <w:t>​</w:t>
      </w:r>
    </w:p>
    <w:p>
      <w:pPr>
        <w:pStyle w:val="TextBody"/>
        <w:bidi w:val="0"/>
        <w:spacing w:lineRule="auto" w:line="285" w:before="0" w:after="0"/>
        <w:ind w:left="0" w:right="0" w:hanging="0"/>
        <w:jc w:val="left"/>
        <w:rPr>
          <w:rFonts w:ascii="Times New Roman;Times;serif" w:hAnsi="Times New Roman;Times;serif"/>
          <w:sz w:val="20"/>
        </w:rPr>
      </w:pPr>
      <w:r>
        <w:rPr>
          <w:rFonts w:ascii="Helvetica;sans-serif" w:hAnsi="Helvetica;sans-serif"/>
          <w:b/>
          <w:sz w:val="24"/>
          <w:shd w:fill="FFFFFF" w:val="clear"/>
        </w:rPr>
        <w:t>Important Safety Information</w:t>
      </w:r>
      <w:r>
        <w:rPr>
          <w:rFonts w:ascii="Helvetica;sans-serif" w:hAnsi="Helvetica;sans-serif"/>
          <w:sz w:val="24"/>
          <w:shd w:fill="FFFFFF" w:val="clear"/>
        </w:rPr>
        <w:br/>
        <w:t>PEDMARK is contraindicated in patients with history of a severe hypersensitivity to sodium thiosulfate or any of its components.</w:t>
      </w:r>
    </w:p>
    <w:p>
      <w:pPr>
        <w:pStyle w:val="TextBody"/>
        <w:bidi w:val="0"/>
        <w:spacing w:lineRule="auto" w:line="285" w:before="0" w:after="0"/>
        <w:ind w:left="0" w:right="0" w:hanging="0"/>
        <w:jc w:val="left"/>
        <w:rPr>
          <w:shd w:fill="FFFFFF" w:val="clear"/>
        </w:rPr>
      </w:pPr>
      <w:r>
        <w:rPr>
          <w:shd w:fill="FFFFFF" w:val="clear"/>
        </w:rPr>
        <w:t>​</w:t>
      </w:r>
    </w:p>
    <w:p>
      <w:pPr>
        <w:pStyle w:val="TextBody"/>
        <w:bidi w:val="0"/>
        <w:spacing w:lineRule="auto" w:line="285" w:before="0" w:after="0"/>
        <w:ind w:left="0" w:right="0" w:hanging="0"/>
        <w:jc w:val="both"/>
        <w:rPr>
          <w:rFonts w:ascii="Helvetica;sans-serif" w:hAnsi="Helvetica;sans-serif"/>
          <w:sz w:val="24"/>
          <w:shd w:fill="FFFFFF" w:val="clear"/>
        </w:rPr>
      </w:pPr>
      <w:r>
        <w:rPr>
          <w:rFonts w:ascii="Helvetica;sans-serif" w:hAnsi="Helvetica;sans-serif"/>
          <w:sz w:val="24"/>
          <w:shd w:fill="FFFFFF" w:val="clear"/>
        </w:rPr>
        <w:t>Hypersensitivity reactions occurred in 8% to 13% of patients in clinical trials. Monitor patients for hypersensitivity reactions. Immediately discontinue PEDMARK and institute appropriate care if a hypersensitivity reaction occurs. Administer antihistamines or glucocorticoids (if appropriate) before each subsequent administration of PEDMARK. PEDMARK may contain sodium sulfite; patients with sulfite sensitivity may have hypersensitivity reactions, including anaphylactic symptoms and life-threatening or severe asthma episodes. Sulfite sensitivity is seen more frequently in people with asthma.</w:t>
      </w:r>
    </w:p>
    <w:p>
      <w:pPr>
        <w:pStyle w:val="TextBody"/>
        <w:bidi w:val="0"/>
        <w:spacing w:lineRule="auto" w:line="285" w:before="0" w:after="0"/>
        <w:ind w:left="0" w:right="0" w:hanging="0"/>
        <w:jc w:val="both"/>
        <w:rPr>
          <w:shd w:fill="FFFFFF" w:val="clear"/>
        </w:rPr>
      </w:pPr>
      <w:r>
        <w:rPr>
          <w:shd w:fill="FFFFFF" w:val="clear"/>
        </w:rPr>
        <w:t>​</w:t>
      </w:r>
    </w:p>
    <w:p>
      <w:pPr>
        <w:pStyle w:val="TextBody"/>
        <w:bidi w:val="0"/>
        <w:spacing w:lineRule="auto" w:line="285" w:before="0" w:after="0"/>
        <w:ind w:left="0" w:right="0" w:hanging="0"/>
        <w:jc w:val="both"/>
        <w:rPr>
          <w:rFonts w:ascii="Helvetica;sans-serif" w:hAnsi="Helvetica;sans-serif"/>
          <w:sz w:val="24"/>
          <w:shd w:fill="FFFFFF" w:val="clear"/>
        </w:rPr>
      </w:pPr>
      <w:r>
        <w:rPr>
          <w:rFonts w:ascii="Helvetica;sans-serif" w:hAnsi="Helvetica;sans-serif"/>
          <w:sz w:val="24"/>
          <w:shd w:fill="FFFFFF" w:val="clear"/>
        </w:rPr>
        <w:t>PEDMARK is not indicated for use in pediatric patients less than 1 month of age due to the increased risk of hypernatremia or in pediatric patients with metastatic cancers.</w:t>
      </w:r>
    </w:p>
    <w:p>
      <w:pPr>
        <w:pStyle w:val="TextBody"/>
        <w:bidi w:val="0"/>
        <w:spacing w:lineRule="auto" w:line="285" w:before="0" w:after="0"/>
        <w:ind w:left="0" w:right="0" w:hanging="0"/>
        <w:jc w:val="both"/>
        <w:rPr>
          <w:shd w:fill="FFFFFF" w:val="clear"/>
        </w:rPr>
      </w:pPr>
      <w:r>
        <w:rPr>
          <w:shd w:fill="FFFFFF" w:val="clear"/>
        </w:rPr>
        <w:t>​</w:t>
      </w:r>
    </w:p>
    <w:p>
      <w:pPr>
        <w:pStyle w:val="TextBody"/>
        <w:bidi w:val="0"/>
        <w:spacing w:lineRule="auto" w:line="285" w:before="0" w:after="0"/>
        <w:ind w:left="0" w:right="0" w:hanging="0"/>
        <w:jc w:val="both"/>
        <w:rPr>
          <w:rFonts w:ascii="Helvetica;sans-serif" w:hAnsi="Helvetica;sans-serif"/>
          <w:sz w:val="24"/>
          <w:shd w:fill="FFFFFF" w:val="clear"/>
        </w:rPr>
      </w:pPr>
      <w:r>
        <w:rPr>
          <w:rFonts w:ascii="Helvetica;sans-serif" w:hAnsi="Helvetica;sans-serif"/>
          <w:sz w:val="24"/>
          <w:shd w:fill="FFFFFF" w:val="clear"/>
        </w:rPr>
        <w:t xml:space="preserve">Hypernatremia occurred in 12% to 26% of patients in clinical trials, including a single Grade 3 case. Hypokalemia occurred in 15% to 27% of patients in clinical trials, with Grade 3 or 4 occurring in 9% to 27% of patients. Monitor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rFonts w:ascii="Helvetica;sans-serif" w:hAnsi="Helvetica;sans-serif"/>
          <w:sz w:val="24"/>
          <w:shd w:fill="FFFFFF" w:val="clear"/>
        </w:rPr>
      </w:pPr>
      <w:r>
        <w:rPr>
          <w:rFonts w:ascii="Helvetica;sans-serif" w:hAnsi="Helvetica;sans-serif"/>
          <w:sz w:val="24"/>
          <w:shd w:fill="FFFFFF" w:val="clear"/>
        </w:rPr>
        <w:t>serum sodium and potassium levels at baseline and as clinically indicated. Withhold PEDMARK in patients with baseline serum sodium greater than 145 mmol/L.</w:t>
      </w:r>
    </w:p>
    <w:p>
      <w:pPr>
        <w:pStyle w:val="TextBody"/>
        <w:bidi w:val="0"/>
        <w:spacing w:lineRule="auto" w:line="285" w:before="0" w:after="0"/>
        <w:ind w:left="0" w:right="0" w:hanging="0"/>
        <w:jc w:val="both"/>
        <w:rPr>
          <w:rFonts w:ascii="Times New Roman;Times;serif" w:hAnsi="Times New Roman;Times;serif"/>
          <w:sz w:val="20"/>
        </w:rPr>
      </w:pPr>
      <w:r>
        <w:rPr>
          <w:rFonts w:ascii="Helvetica;sans-serif" w:hAnsi="Helvetica;sans-serif"/>
          <w:sz w:val="24"/>
          <w:shd w:fill="FFFFFF" w:val="clear"/>
        </w:rPr>
        <w:t>Monitor for signs and symptoms of hypernatremia and hypokalemia more closely if the glomerular filtration rate (GFR) falls below 60 mL/min/1.73m</w:t>
      </w:r>
      <w:r>
        <w:rPr>
          <w:rFonts w:ascii="Helvetica;sans-serif" w:hAnsi="Helvetica;sans-serif"/>
          <w:sz w:val="18"/>
          <w:shd w:fill="FFFFFF" w:val="clear"/>
        </w:rPr>
        <w:t>2</w:t>
      </w:r>
      <w:r>
        <w:rPr>
          <w:rFonts w:ascii="Helvetica;sans-serif" w:hAnsi="Helvetica;sans-serif"/>
          <w:sz w:val="24"/>
          <w:shd w:fill="FFFFFF" w:val="clear"/>
        </w:rPr>
        <w:t>.</w:t>
      </w:r>
    </w:p>
    <w:p>
      <w:pPr>
        <w:pStyle w:val="TextBody"/>
        <w:bidi w:val="0"/>
        <w:spacing w:lineRule="auto" w:line="285" w:before="0" w:after="0"/>
        <w:ind w:left="0" w:right="0" w:hanging="0"/>
        <w:jc w:val="both"/>
        <w:rPr>
          <w:shd w:fill="FFFFFF" w:val="clear"/>
        </w:rPr>
      </w:pPr>
      <w:r>
        <w:rPr>
          <w:shd w:fill="FFFFFF" w:val="clear"/>
        </w:rPr>
        <w:t>​</w:t>
      </w:r>
    </w:p>
    <w:p>
      <w:pPr>
        <w:pStyle w:val="TextBody"/>
        <w:bidi w:val="0"/>
        <w:spacing w:lineRule="auto" w:line="285" w:before="0" w:after="0"/>
        <w:ind w:left="0" w:right="0" w:hanging="0"/>
        <w:jc w:val="both"/>
        <w:rPr>
          <w:rFonts w:ascii="Helvetica;sans-serif" w:hAnsi="Helvetica;sans-serif"/>
          <w:sz w:val="24"/>
          <w:shd w:fill="FFFFFF" w:val="clear"/>
        </w:rPr>
      </w:pPr>
      <w:r>
        <w:rPr>
          <w:rFonts w:ascii="Helvetica;sans-serif" w:hAnsi="Helvetica;sans-serif"/>
          <w:sz w:val="24"/>
          <w:shd w:fill="FFFFFF" w:val="clear"/>
        </w:rPr>
        <w:t>Administer antiemetics prior to each PEDMARK administration. Provide additional antiemetics and supportive care as appropriate.</w:t>
      </w:r>
    </w:p>
    <w:p>
      <w:pPr>
        <w:pStyle w:val="TextBody"/>
        <w:bidi w:val="0"/>
        <w:spacing w:lineRule="auto" w:line="285" w:before="0" w:after="0"/>
        <w:ind w:left="0" w:right="0" w:hanging="0"/>
        <w:jc w:val="both"/>
        <w:rPr>
          <w:shd w:fill="FFFFFF" w:val="clear"/>
        </w:rPr>
      </w:pPr>
      <w:r>
        <w:rPr>
          <w:shd w:fill="FFFFFF" w:val="clear"/>
        </w:rPr>
        <w:t>​</w:t>
      </w:r>
    </w:p>
    <w:p>
      <w:pPr>
        <w:pStyle w:val="TextBody"/>
        <w:bidi w:val="0"/>
        <w:spacing w:lineRule="auto" w:line="285" w:before="0" w:after="0"/>
        <w:ind w:left="0" w:right="0" w:hanging="0"/>
        <w:jc w:val="both"/>
        <w:rPr>
          <w:rFonts w:ascii="Helvetica;sans-serif" w:hAnsi="Helvetica;sans-serif"/>
          <w:sz w:val="24"/>
          <w:shd w:fill="FFFFFF" w:val="clear"/>
        </w:rPr>
      </w:pPr>
      <w:r>
        <w:rPr>
          <w:rFonts w:ascii="Helvetica;sans-serif" w:hAnsi="Helvetica;sans-serif"/>
          <w:sz w:val="24"/>
          <w:shd w:fill="FFFFFF" w:val="clear"/>
        </w:rPr>
        <w:t>The most common adverse reactions (≥25% with difference between arms of &gt;5% compared to cisplatin alone) in SIOPEL 6 were vomiting, nausea, decreased hemoglobin, and hypernatremia. The most common adverse reaction (≥25% with difference between arms of &gt;5% compared to cisplatin alone) in COG ACCL0431 was hypokalemia.</w:t>
      </w:r>
    </w:p>
    <w:p>
      <w:pPr>
        <w:pStyle w:val="TextBody"/>
        <w:bidi w:val="0"/>
        <w:spacing w:lineRule="auto" w:line="285" w:before="0" w:after="0"/>
        <w:ind w:left="0" w:right="0" w:hanging="0"/>
        <w:jc w:val="both"/>
        <w:rPr>
          <w:shd w:fill="FFFFFF" w:val="clear"/>
        </w:rPr>
      </w:pPr>
      <w:r>
        <w:rPr>
          <w:shd w:fill="FFFFFF" w:val="clear"/>
        </w:rPr>
        <w:t>​</w:t>
      </w:r>
    </w:p>
    <w:p>
      <w:pPr>
        <w:pStyle w:val="TextBody"/>
        <w:bidi w:val="0"/>
        <w:spacing w:lineRule="auto" w:line="285" w:before="0" w:after="0"/>
        <w:ind w:left="0" w:right="0" w:hanging="0"/>
        <w:jc w:val="both"/>
        <w:rPr>
          <w:rFonts w:ascii="Times New Roman;Times;serif" w:hAnsi="Times New Roman;Times;serif"/>
          <w:sz w:val="20"/>
        </w:rPr>
      </w:pPr>
      <w:r>
        <w:rPr>
          <w:rFonts w:ascii="Helvetica;sans-serif" w:hAnsi="Helvetica;sans-serif"/>
          <w:sz w:val="24"/>
          <w:shd w:fill="FFFFFF" w:val="clear"/>
        </w:rPr>
        <w:t>Please see full Prescribing Information for PEDMARK</w:t>
      </w:r>
      <w:r>
        <w:rPr>
          <w:rFonts w:ascii="Helvetica;sans-serif" w:hAnsi="Helvetica;sans-serif"/>
          <w:sz w:val="18"/>
          <w:shd w:fill="FFFFFF" w:val="clear"/>
        </w:rPr>
        <w:t>®</w:t>
      </w:r>
      <w:r>
        <w:rPr>
          <w:rFonts w:ascii="Times New Roman;Times;serif" w:hAnsi="Times New Roman;Times;serif"/>
          <w:sz w:val="20"/>
          <w:shd w:fill="FFFFFF" w:val="clear"/>
        </w:rPr>
        <w:t> </w:t>
      </w:r>
      <w:r>
        <w:rPr>
          <w:rFonts w:ascii="Helvetica;sans-serif" w:hAnsi="Helvetica;sans-serif"/>
          <w:sz w:val="24"/>
          <w:shd w:fill="FFFFFF" w:val="clear"/>
        </w:rPr>
        <w:t>at: www.PEDMARK.com.</w:t>
      </w:r>
    </w:p>
    <w:p>
      <w:pPr>
        <w:pStyle w:val="TextBody"/>
        <w:bidi w:val="0"/>
        <w:spacing w:lineRule="auto" w:line="285" w:before="0" w:after="0"/>
        <w:ind w:left="0" w:right="0" w:hanging="0"/>
        <w:jc w:val="both"/>
        <w:rPr>
          <w:shd w:fill="FFFFFF" w:val="clear"/>
        </w:rPr>
      </w:pPr>
      <w:r>
        <w:rPr>
          <w:shd w:fill="FFFFFF" w:val="clear"/>
        </w:rPr>
        <w:t>​</w:t>
      </w:r>
    </w:p>
    <w:p>
      <w:pPr>
        <w:pStyle w:val="TextBody"/>
        <w:bidi w:val="0"/>
        <w:spacing w:lineRule="auto" w:line="285" w:before="0" w:after="0"/>
        <w:ind w:left="0" w:right="0" w:hanging="0"/>
        <w:jc w:val="both"/>
        <w:rPr>
          <w:rFonts w:ascii="Helvetica;sans-serif" w:hAnsi="Helvetica;sans-serif"/>
          <w:b/>
          <w:sz w:val="24"/>
          <w:shd w:fill="FFFFFF" w:val="clear"/>
        </w:rPr>
      </w:pPr>
      <w:r>
        <w:rPr>
          <w:rFonts w:ascii="Helvetica;sans-serif" w:hAnsi="Helvetica;sans-serif"/>
          <w:b/>
          <w:sz w:val="24"/>
          <w:shd w:fill="FFFFFF" w:val="clear"/>
        </w:rPr>
        <w:t>About Fennec Pharmaceuticals</w:t>
      </w:r>
    </w:p>
    <w:p>
      <w:pPr>
        <w:pStyle w:val="TextBody"/>
        <w:bidi w:val="0"/>
        <w:spacing w:lineRule="auto" w:line="285" w:before="0" w:after="0"/>
        <w:ind w:left="0" w:right="0" w:hanging="0"/>
        <w:jc w:val="both"/>
        <w:rPr>
          <w:rFonts w:ascii="Times New Roman;Times;serif" w:hAnsi="Times New Roman;Times;serif"/>
          <w:sz w:val="20"/>
        </w:rPr>
      </w:pPr>
      <w:r>
        <w:rPr>
          <w:rFonts w:ascii="Helvetica;sans-serif" w:hAnsi="Helvetica;sans-serif"/>
          <w:sz w:val="24"/>
        </w:rPr>
        <w:t>Fennec Pharmaceuticals Inc. is a specialty pharmaceutical company committed to the fight against ototoxicity in cancer patients who receive cisplatin-based chemotherapy. Fennec is focused on the commercialization of PEDMARK</w:t>
      </w:r>
      <w:r>
        <w:rPr>
          <w:rFonts w:ascii="Helvetica;sans-serif" w:hAnsi="Helvetica;sans-serif"/>
          <w:sz w:val="18"/>
        </w:rPr>
        <w:t>®</w:t>
      </w:r>
      <w:r>
        <w:rPr>
          <w:rFonts w:ascii="Times New Roman;Times;serif" w:hAnsi="Times New Roman;Times;serif"/>
          <w:sz w:val="20"/>
        </w:rPr>
        <w:t xml:space="preserve"> </w:t>
      </w:r>
      <w:r>
        <w:rPr>
          <w:rFonts w:ascii="Helvetica;sans-serif" w:hAnsi="Helvetica;sans-serif"/>
          <w:sz w:val="24"/>
        </w:rPr>
        <w:t>to reduce the risk of platinum-induced ototoxicity in cancer patients. PEDMARK received FDA approval in September 2022 and European Commission approval in June 2023 and United Kingdom (U.K.) approval in October 2023 under the brand name PEDMARQSI</w:t>
      </w:r>
      <w:r>
        <w:rPr>
          <w:rFonts w:ascii="Helvetica;sans-serif" w:hAnsi="Helvetica;sans-serif"/>
          <w:sz w:val="18"/>
          <w:shd w:fill="FFFFFF" w:val="clear"/>
        </w:rPr>
        <w:t>Ò</w:t>
      </w:r>
      <w:r>
        <w:rPr>
          <w:rFonts w:ascii="Helvetica;sans-serif" w:hAnsi="Helvetica;sans-serif"/>
          <w:sz w:val="24"/>
        </w:rPr>
        <w:t xml:space="preserve">.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Helvetica;sans-serif" w:hAnsi="Helvetica;sans-serif"/>
          <w:sz w:val="24"/>
        </w:rPr>
        <w:t>In March 2024, Fennec entered into an exclusive licensing agreement under which Norgine Pharmaceuticals Ltd., a leading European specialist pharmaceutical company, will commercialize PEDMARQSI</w:t>
      </w:r>
      <w:r>
        <w:rPr>
          <w:rFonts w:ascii="Helvetica;sans-serif" w:hAnsi="Helvetica;sans-serif"/>
          <w:sz w:val="18"/>
        </w:rPr>
        <w:t>®</w:t>
      </w:r>
      <w:r>
        <w:rPr>
          <w:rFonts w:ascii="Times New Roman;Times;serif" w:hAnsi="Times New Roman;Times;serif"/>
          <w:sz w:val="20"/>
        </w:rPr>
        <w:t> </w:t>
      </w:r>
      <w:r>
        <w:rPr>
          <w:rFonts w:ascii="Helvetica;sans-serif" w:hAnsi="Helvetica;sans-serif"/>
          <w:sz w:val="24"/>
        </w:rPr>
        <w:t>in Europe, U.K., Australia and New Zealand. PEDMARQSI is now commercially available in the U.K. and Germany.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Helvetica;sans-serif" w:hAnsi="Helvetica;sans-serif"/>
          <w:sz w:val="24"/>
        </w:rPr>
      </w:pPr>
      <w:r>
        <w:rPr>
          <w:rFonts w:ascii="Helvetica;sans-serif" w:hAnsi="Helvetica;sans-serif"/>
          <w:sz w:val="24"/>
        </w:rPr>
        <w:t>PEDMARK has received Orphan Drug Exclusivity in the U.S. and PEDMARQSI has received Pediatric Use Marketing Authorization in Europe which includes eight years plus two years of data and market protection. Further, Fennec has patents providing protection for PEDMARK until 2039 in both the U.S. and internationally.</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Helvetica;sans-serif" w:hAnsi="Helvetica;sans-serif"/>
          <w:sz w:val="24"/>
        </w:rPr>
        <w:t>For more information, please visit www.fennecpharma.com</w:t>
      </w:r>
      <w:r>
        <w:rPr>
          <w:rFonts w:ascii="Times New Roman;Times;serif" w:hAnsi="Times New Roman;Times;serif"/>
          <w:sz w:val="20"/>
        </w:rPr>
        <w:t xml:space="preserve"> </w:t>
      </w:r>
      <w:r>
        <w:rPr>
          <w:rFonts w:ascii="Helvetica;sans-serif" w:hAnsi="Helvetica;sans-serif"/>
          <w:sz w:val="24"/>
        </w:rPr>
        <w:t xml:space="preserve">and follow on LinkedIn. </w:t>
      </w:r>
    </w:p>
    <w:p>
      <w:pPr>
        <w:pStyle w:val="TextBody"/>
        <w:bidi w:val="0"/>
        <w:spacing w:lineRule="auto" w:line="285" w:before="0" w:after="0"/>
        <w:ind w:left="0" w:right="0" w:hanging="0"/>
        <w:jc w:val="both"/>
        <w:rPr>
          <w:shd w:fill="FFFFFF" w:val="clear"/>
        </w:rPr>
      </w:pPr>
      <w:r>
        <w:rPr>
          <w:shd w:fill="FFFFFF" w:val="clear"/>
        </w:rPr>
        <w:t>​</w:t>
      </w:r>
    </w:p>
    <w:p>
      <w:pPr>
        <w:pStyle w:val="TextBody"/>
        <w:bidi w:val="0"/>
        <w:spacing w:lineRule="auto" w:line="285" w:before="0" w:after="0"/>
        <w:ind w:left="0" w:right="0" w:hanging="0"/>
        <w:jc w:val="both"/>
        <w:rPr>
          <w:rFonts w:ascii="Times New Roman;Times;serif" w:hAnsi="Times New Roman;Times;serif"/>
          <w:b/>
          <w:i/>
          <w:sz w:val="24"/>
        </w:rPr>
      </w:pPr>
      <w:r>
        <w:rPr>
          <w:rFonts w:ascii="Times New Roman;Times;serif" w:hAnsi="Times New Roman;Times;serif"/>
          <w:b/>
          <w:i/>
          <w:sz w:val="24"/>
        </w:rPr>
        <w:t>Forward Looking Statements</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i/>
          <w:sz w:val="24"/>
        </w:rPr>
        <w:t>Except for historical information described in this press release, all other statements are forward-looking. Words such as “believe,” “anticipate,” “plan,” “expect,” “estimate,” “intend,” “may,” “will,” or the negative of those terms, and similar expressions, are intended to identify forward-looking statements. These forward-looking statements include statements about our business strategy, timeline and other goals, plans and prospects, including our commercialization plans respecting PEDMARK</w:t>
      </w:r>
      <w:r>
        <w:rPr>
          <w:rFonts w:ascii="Times New Roman;Times;serif" w:hAnsi="Times New Roman;Times;serif"/>
          <w:i/>
          <w:sz w:val="18"/>
        </w:rPr>
        <w:t>®</w:t>
      </w:r>
      <w:r>
        <w:rPr>
          <w:rFonts w:ascii="Times New Roman;Times;serif" w:hAnsi="Times New Roman;Times;serif"/>
          <w:i/>
          <w:sz w:val="24"/>
        </w:rPr>
        <w:t>/</w:t>
      </w:r>
      <w:r>
        <w:rPr>
          <w:rFonts w:ascii="Helvetica;sans-serif" w:hAnsi="Helvetica;sans-serif"/>
          <w:i/>
          <w:sz w:val="24"/>
        </w:rPr>
        <w:t>PEDMARQSI</w:t>
      </w:r>
      <w:r>
        <w:rPr>
          <w:rFonts w:ascii="Times New Roman;Times;serif" w:hAnsi="Times New Roman;Times;serif"/>
          <w:i/>
          <w:sz w:val="18"/>
        </w:rPr>
        <w:t>®</w:t>
      </w:r>
      <w:r>
        <w:rPr>
          <w:rFonts w:ascii="Times New Roman;Times;serif" w:hAnsi="Times New Roman;Times;serif"/>
          <w:i/>
          <w:sz w:val="24"/>
        </w:rPr>
        <w:t>, the market opportunity for and market impact of PEDMARK</w:t>
      </w:r>
      <w:r>
        <w:rPr>
          <w:rFonts w:ascii="Times New Roman;Times;serif" w:hAnsi="Times New Roman;Times;serif"/>
          <w:i/>
          <w:sz w:val="18"/>
        </w:rPr>
        <w:t>®</w:t>
      </w:r>
      <w:r>
        <w:rPr>
          <w:rFonts w:ascii="Times New Roman;Times;serif" w:hAnsi="Times New Roman;Times;serif"/>
          <w:i/>
          <w:sz w:val="24"/>
        </w:rPr>
        <w:t xml:space="preserve">/ </w:t>
      </w:r>
      <w:r>
        <w:rPr>
          <w:rFonts w:ascii="Helvetica;sans-serif" w:hAnsi="Helvetica;sans-serif"/>
          <w:i/>
          <w:sz w:val="24"/>
        </w:rPr>
        <w:t>PEDMARQSI</w:t>
      </w:r>
      <w:r>
        <w:rPr>
          <w:rFonts w:ascii="Times New Roman;Times;serif" w:hAnsi="Times New Roman;Times;serif"/>
          <w:i/>
          <w:sz w:val="18"/>
        </w:rPr>
        <w:t>®</w:t>
      </w:r>
      <w:r>
        <w:rPr>
          <w:rFonts w:ascii="Times New Roman;Times;serif" w:hAnsi="Times New Roman;Times;serif"/>
          <w:i/>
          <w:sz w:val="24"/>
        </w:rPr>
        <w:t>, its potential impact on patients and anticipated benefits associated with its use, future</w:t>
      </w:r>
      <w:r>
        <w:rPr>
          <w:rFonts w:ascii="Times New Roman;Times;serif" w:hAnsi="Times New Roman;Times;serif"/>
          <w:sz w:val="20"/>
        </w:rPr>
        <w:t xml:space="preserve"> </w:t>
      </w:r>
      <w:r>
        <w:rPr>
          <w:rFonts w:ascii="Helvetica;sans-serif" w:hAnsi="Helvetica;sans-serif"/>
          <w:i/>
          <w:sz w:val="24"/>
        </w:rPr>
        <w:t>commercial and regulatory milestone and royalty payments from Norgine,</w:t>
      </w:r>
      <w:r>
        <w:rPr>
          <w:rFonts w:ascii="Times New Roman;Times;serif" w:hAnsi="Times New Roman;Times;serif"/>
          <w:sz w:val="20"/>
        </w:rPr>
        <w:t xml:space="preserve"> </w:t>
      </w:r>
      <w:r>
        <w:rPr>
          <w:rFonts w:ascii="Times New Roman;Times;serif" w:hAnsi="Times New Roman;Times;serif"/>
          <w:i/>
          <w:sz w:val="24"/>
        </w:rPr>
        <w:t xml:space="preserve">and potential access to further funding after the date of this release. Forward-looking statements are subject to certain risks and uncertainties inherent in the Company’s business that could cause actual results to vary, including the risks and uncertainties that regulatory and guideline developments may change, scientific data and/or manufacturing capabilities may not be sufficient to meet regulatory standards or receipt of required regulatory clearances or approvals, clinical results may not be replicated in actual patient settings, unforeseen global instability, including political instability, or instability from an outbreak of pandemic or contagious disease, such as the novel coronavirus (COVID-19), or surrounding the duration and severity of an outbreak, protection offered by the Company’s patents and patent applications may be challenged, invalidated or circumvented by its competitors, the available market for the Company’s products will not be as large as expected, the Company’s products will not be able to penetrate one or more targeted markets, revenues will not be sufficient to fund further development and clinical studies, our ability to obtain necessary capital when needed on acceptable terms or at all, the Company may not meet its future capital requirements in different countries and municipalities, and other risks </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rFonts w:ascii="Times New Roman;Times;serif" w:hAnsi="Times New Roman;Times;serif"/>
          <w:i/>
          <w:sz w:val="24"/>
        </w:rPr>
      </w:pPr>
      <w:r>
        <w:rPr>
          <w:rFonts w:ascii="Times New Roman;Times;serif" w:hAnsi="Times New Roman;Times;serif"/>
          <w:i/>
          <w:sz w:val="24"/>
        </w:rPr>
        <w:t>detailed from time to time in the Company’s filings with the Securities and Exchange Commission including its Annual Report on Form 10-K for the year ended December 31, 2025. Fennec disclaims any obligation to update these forward-looking statements except as required by law.</w:t>
      </w:r>
    </w:p>
    <w:p>
      <w:pPr>
        <w:pStyle w:val="TextBody"/>
        <w:bidi w:val="0"/>
        <w:spacing w:lineRule="auto" w:line="285" w:before="0" w:after="0"/>
        <w:ind w:left="0" w:right="0" w:hanging="0"/>
        <w:jc w:val="both"/>
        <w:rPr>
          <w:shd w:fill="FFFFFF" w:val="clear"/>
        </w:rPr>
      </w:pPr>
      <w:r>
        <w:rPr>
          <w:shd w:fill="FFFFFF" w:val="clear"/>
        </w:rPr>
        <w:t>​</w:t>
      </w:r>
    </w:p>
    <w:p>
      <w:pPr>
        <w:pStyle w:val="TextBody"/>
        <w:bidi w:val="0"/>
        <w:spacing w:lineRule="auto" w:line="285" w:before="0" w:after="0"/>
        <w:ind w:left="0" w:right="0" w:hanging="0"/>
        <w:jc w:val="both"/>
        <w:rPr>
          <w:rFonts w:ascii="Times New Roman;Times;serif" w:hAnsi="Times New Roman;Times;serif"/>
          <w:sz w:val="20"/>
        </w:rPr>
      </w:pPr>
      <w:r>
        <w:rPr>
          <w:rFonts w:ascii="Helvetica;sans-serif" w:hAnsi="Helvetica;sans-serif"/>
          <w:i/>
          <w:sz w:val="24"/>
          <w:shd w:fill="FFFFFF" w:val="clear"/>
        </w:rPr>
        <w:t>For a more detailed discussion of related risk factors, please refer to our public filings available at www.sec.gov</w:t>
      </w:r>
      <w:r>
        <w:rPr>
          <w:rFonts w:ascii="Times New Roman;Times;serif" w:hAnsi="Times New Roman;Times;serif"/>
          <w:sz w:val="20"/>
          <w:shd w:fill="FFFFFF" w:val="clear"/>
        </w:rPr>
        <w:t> </w:t>
      </w:r>
      <w:r>
        <w:rPr>
          <w:rFonts w:ascii="Helvetica;sans-serif" w:hAnsi="Helvetica;sans-serif"/>
          <w:i/>
          <w:sz w:val="24"/>
          <w:shd w:fill="FFFFFF" w:val="clear"/>
        </w:rPr>
        <w:t>and www.sedar.com.</w:t>
      </w:r>
    </w:p>
    <w:p>
      <w:pPr>
        <w:pStyle w:val="TextBody"/>
        <w:bidi w:val="0"/>
        <w:spacing w:lineRule="auto" w:line="285" w:before="0" w:after="0"/>
        <w:ind w:left="0" w:right="0" w:hanging="0"/>
        <w:jc w:val="both"/>
        <w:rPr>
          <w:shd w:fill="FFFFFF" w:val="clear"/>
        </w:rPr>
      </w:pPr>
      <w:r>
        <w:rPr>
          <w:shd w:fill="FFFFFF" w:val="clear"/>
        </w:rPr>
        <w:t>​</w:t>
      </w:r>
    </w:p>
    <w:p>
      <w:pPr>
        <w:pStyle w:val="TextBody"/>
        <w:bidi w:val="0"/>
        <w:spacing w:lineRule="auto" w:line="285" w:before="0" w:after="0"/>
        <w:ind w:left="0" w:right="0" w:hanging="0"/>
        <w:jc w:val="both"/>
        <w:rPr>
          <w:rFonts w:ascii="Times New Roman;Times;serif" w:hAnsi="Times New Roman;Times;serif"/>
          <w:sz w:val="20"/>
        </w:rPr>
      </w:pPr>
      <w:r>
        <w:rPr>
          <w:rFonts w:ascii="Helvetica;sans-serif" w:hAnsi="Helvetica;sans-serif"/>
          <w:sz w:val="24"/>
          <w:shd w:fill="FFFFFF" w:val="clear"/>
        </w:rPr>
        <w:t>PEDMARK</w:t>
      </w:r>
      <w:r>
        <w:rPr>
          <w:rFonts w:ascii="Helvetica;sans-serif" w:hAnsi="Helvetica;sans-serif"/>
          <w:sz w:val="18"/>
          <w:shd w:fill="FFFFFF" w:val="clear"/>
        </w:rPr>
        <w:t>®</w:t>
      </w:r>
      <w:r>
        <w:rPr>
          <w:rFonts w:ascii="Times New Roman;Times;serif" w:hAnsi="Times New Roman;Times;serif"/>
          <w:sz w:val="20"/>
          <w:shd w:fill="FFFFFF" w:val="clear"/>
        </w:rPr>
        <w:t xml:space="preserve"> </w:t>
      </w:r>
      <w:r>
        <w:rPr>
          <w:rFonts w:ascii="Helvetica;sans-serif" w:hAnsi="Helvetica;sans-serif"/>
          <w:sz w:val="24"/>
        </w:rPr>
        <w:t>PEDMARQSI</w:t>
      </w:r>
      <w:r>
        <w:rPr>
          <w:rFonts w:ascii="Times New Roman;Times;serif" w:hAnsi="Times New Roman;Times;serif"/>
          <w:sz w:val="18"/>
        </w:rPr>
        <w:t>®</w:t>
      </w:r>
      <w:r>
        <w:rPr>
          <w:rFonts w:ascii="Times New Roman;Times;serif" w:hAnsi="Times New Roman;Times;serif"/>
          <w:sz w:val="20"/>
        </w:rPr>
        <w:t xml:space="preserve"> </w:t>
      </w:r>
      <w:r>
        <w:rPr>
          <w:rFonts w:ascii="Helvetica;sans-serif" w:hAnsi="Helvetica;sans-serif"/>
          <w:sz w:val="24"/>
          <w:shd w:fill="FFFFFF" w:val="clear"/>
        </w:rPr>
        <w:t>and Fennec</w:t>
      </w:r>
      <w:r>
        <w:rPr>
          <w:rFonts w:ascii="Helvetica;sans-serif" w:hAnsi="Helvetica;sans-serif"/>
          <w:sz w:val="18"/>
          <w:shd w:fill="FFFFFF" w:val="clear"/>
        </w:rPr>
        <w:t>®</w:t>
      </w:r>
      <w:r>
        <w:rPr>
          <w:rFonts w:ascii="Times New Roman;Times;serif" w:hAnsi="Times New Roman;Times;serif"/>
          <w:sz w:val="20"/>
          <w:shd w:fill="FFFFFF" w:val="clear"/>
        </w:rPr>
        <w:t xml:space="preserve"> </w:t>
      </w:r>
      <w:r>
        <w:rPr>
          <w:rFonts w:ascii="Helvetica;sans-serif" w:hAnsi="Helvetica;sans-serif"/>
          <w:sz w:val="24"/>
          <w:shd w:fill="FFFFFF" w:val="clear"/>
        </w:rPr>
        <w:t>are registered trademarks of Fennec Pharmaceuticals Inc.</w:t>
      </w:r>
    </w:p>
    <w:p>
      <w:pPr>
        <w:pStyle w:val="TextBody"/>
        <w:bidi w:val="0"/>
        <w:spacing w:lineRule="auto" w:line="285" w:before="0" w:after="0"/>
        <w:ind w:left="0" w:right="0" w:hanging="0"/>
        <w:jc w:val="both"/>
        <w:rPr>
          <w:shd w:fill="FFFFFF" w:val="clear"/>
        </w:rPr>
      </w:pPr>
      <w:r>
        <w:rPr>
          <w:shd w:fill="FFFFFF" w:val="clear"/>
        </w:rPr>
        <w:t>​</w:t>
      </w:r>
    </w:p>
    <w:p>
      <w:pPr>
        <w:pStyle w:val="TextBody"/>
        <w:bidi w:val="0"/>
        <w:spacing w:lineRule="auto" w:line="285" w:before="0" w:after="0"/>
        <w:ind w:left="0" w:right="0" w:hanging="0"/>
        <w:jc w:val="both"/>
        <w:rPr>
          <w:rFonts w:ascii="Helvetica;sans-serif" w:hAnsi="Helvetica;sans-serif"/>
          <w:sz w:val="24"/>
          <w:shd w:fill="FFFFFF" w:val="clear"/>
        </w:rPr>
      </w:pPr>
      <w:r>
        <w:rPr>
          <w:rFonts w:ascii="Helvetica;sans-serif" w:hAnsi="Helvetica;sans-serif"/>
          <w:sz w:val="24"/>
          <w:shd w:fill="FFFFFF" w:val="clear"/>
        </w:rPr>
        <w:t xml:space="preserve">©2025 Fennec Pharmaceuticals Inc. All rights reserved. </w:t>
      </w:r>
    </w:p>
    <w:p>
      <w:pPr>
        <w:pStyle w:val="TextBody"/>
        <w:bidi w:val="0"/>
        <w:spacing w:lineRule="auto" w:line="285" w:before="0" w:after="0"/>
        <w:ind w:left="0" w:right="0" w:hanging="0"/>
        <w:jc w:val="both"/>
        <w:rPr>
          <w:shd w:fill="FFFFFF" w:val="clear"/>
        </w:rPr>
      </w:pPr>
      <w:r>
        <w:rPr>
          <w:shd w:fill="FFFFFF" w:val="clear"/>
        </w:rPr>
        <w:t>​</w:t>
      </w:r>
    </w:p>
    <w:p>
      <w:pPr>
        <w:pStyle w:val="TextBody"/>
        <w:bidi w:val="0"/>
        <w:spacing w:lineRule="auto" w:line="285" w:before="0" w:after="0"/>
        <w:ind w:left="0" w:right="0" w:hanging="0"/>
        <w:jc w:val="both"/>
        <w:rPr>
          <w:rFonts w:ascii="Helvetica;sans-serif" w:hAnsi="Helvetica;sans-serif"/>
          <w:b/>
          <w:sz w:val="24"/>
          <w:shd w:fill="FFFFFF" w:val="clear"/>
        </w:rPr>
      </w:pPr>
      <w:r>
        <w:rPr>
          <w:rFonts w:ascii="Helvetica;sans-serif" w:hAnsi="Helvetica;sans-serif"/>
          <w:b/>
          <w:sz w:val="24"/>
          <w:shd w:fill="FFFFFF" w:val="clear"/>
        </w:rPr>
        <w:t>For further information, please contact:</w:t>
      </w:r>
    </w:p>
    <w:p>
      <w:pPr>
        <w:pStyle w:val="TextBody"/>
        <w:bidi w:val="0"/>
        <w:spacing w:lineRule="auto" w:line="285" w:before="0" w:after="0"/>
        <w:ind w:left="0" w:right="0" w:hanging="0"/>
        <w:jc w:val="both"/>
        <w:rPr>
          <w:shd w:fill="FFFFFF" w:val="clear"/>
        </w:rPr>
      </w:pPr>
      <w:r>
        <w:rPr>
          <w:shd w:fill="FFFFFF" w:val="clear"/>
        </w:rPr>
        <w:t>​</w:t>
      </w:r>
    </w:p>
    <w:p>
      <w:pPr>
        <w:pStyle w:val="TextBody"/>
        <w:bidi w:val="0"/>
        <w:spacing w:lineRule="auto" w:line="285" w:before="0" w:after="0"/>
        <w:ind w:left="0" w:right="0" w:hanging="0"/>
        <w:jc w:val="left"/>
        <w:rPr>
          <w:rFonts w:ascii="Times New Roman;Times;serif" w:hAnsi="Times New Roman;Times;serif"/>
          <w:sz w:val="20"/>
        </w:rPr>
      </w:pPr>
      <w:r>
        <w:rPr>
          <w:rFonts w:ascii="Helvetica;sans-serif" w:hAnsi="Helvetica;sans-serif"/>
          <w:b/>
          <w:sz w:val="24"/>
          <w:shd w:fill="FFFFFF" w:val="clear"/>
        </w:rPr>
        <w:t>Investors:</w:t>
      </w:r>
      <w:r>
        <w:rPr>
          <w:rFonts w:ascii="Helvetica;sans-serif" w:hAnsi="Helvetica;sans-serif"/>
          <w:sz w:val="24"/>
          <w:shd w:fill="FFFFFF" w:val="clear"/>
        </w:rPr>
        <w:br/>
      </w:r>
      <w:r>
        <w:rPr>
          <w:rFonts w:ascii="Helvetica;sans-serif" w:hAnsi="Helvetica;sans-serif"/>
          <w:sz w:val="24"/>
        </w:rPr>
        <w:t>Robert Andrade</w:t>
        <w:br/>
        <w:t>Chief Financial Officer</w:t>
        <w:br/>
        <w:t>Fennec Pharmaceuticals Inc.</w:t>
        <w:br/>
        <w:t>+1 919-246-5299</w:t>
      </w:r>
    </w:p>
    <w:p>
      <w:pPr>
        <w:pStyle w:val="TextBody"/>
        <w:bidi w:val="0"/>
        <w:spacing w:lineRule="auto" w:line="285" w:before="0" w:after="0"/>
        <w:ind w:left="0" w:right="0" w:hanging="0"/>
        <w:jc w:val="left"/>
        <w:rPr>
          <w:shd w:fill="FFFFFF" w:val="clear"/>
        </w:rPr>
      </w:pPr>
      <w:r>
        <w:rPr>
          <w:shd w:fill="FFFFFF" w:val="clear"/>
        </w:rPr>
        <w:t>​</w:t>
      </w:r>
    </w:p>
    <w:p>
      <w:pPr>
        <w:pStyle w:val="TextBody"/>
        <w:bidi w:val="0"/>
        <w:spacing w:lineRule="auto" w:line="285" w:before="0" w:after="0"/>
        <w:ind w:left="0" w:right="0" w:hanging="0"/>
        <w:jc w:val="left"/>
        <w:rPr>
          <w:rFonts w:ascii="Times New Roman;Times;serif" w:hAnsi="Times New Roman;Times;serif"/>
          <w:sz w:val="20"/>
        </w:rPr>
      </w:pPr>
      <w:r>
        <w:rPr>
          <w:rFonts w:ascii="Helvetica;sans-serif" w:hAnsi="Helvetica;sans-serif"/>
          <w:b/>
          <w:sz w:val="24"/>
          <w:shd w:fill="FFFFFF" w:val="clear"/>
        </w:rPr>
        <w:t>Corporate and Media:</w:t>
      </w:r>
      <w:r>
        <w:rPr>
          <w:rFonts w:ascii="Helvetica;sans-serif" w:hAnsi="Helvetica;sans-serif"/>
          <w:sz w:val="24"/>
          <w:shd w:fill="FFFFFF" w:val="clear"/>
        </w:rPr>
        <w:br/>
        <w:t xml:space="preserve">Lindsay Rocco </w:t>
      </w:r>
    </w:p>
    <w:p>
      <w:pPr>
        <w:pStyle w:val="TextBody"/>
        <w:bidi w:val="0"/>
        <w:spacing w:lineRule="auto" w:line="285" w:before="0" w:after="0"/>
        <w:ind w:left="0" w:right="0" w:hanging="0"/>
        <w:jc w:val="left"/>
        <w:rPr>
          <w:rFonts w:ascii="Helvetica;sans-serif" w:hAnsi="Helvetica;sans-serif"/>
          <w:sz w:val="24"/>
          <w:shd w:fill="FFFFFF" w:val="clear"/>
        </w:rPr>
      </w:pPr>
      <w:r>
        <w:rPr>
          <w:rFonts w:ascii="Helvetica;sans-serif" w:hAnsi="Helvetica;sans-serif"/>
          <w:sz w:val="24"/>
          <w:shd w:fill="FFFFFF" w:val="clear"/>
        </w:rPr>
        <w:t>Elixir Health Public Relations</w:t>
        <w:br/>
        <w:t>+1 862-596-1304</w:t>
        <w:br/>
        <w:t>lrocco@elixirhealthpr.com</w:t>
      </w:r>
    </w:p>
    <w:p>
      <w:pPr>
        <w:pStyle w:val="TextBody"/>
        <w:bidi w:val="0"/>
        <w:spacing w:lineRule="auto" w:line="285" w:before="0" w:after="0"/>
        <w:ind w:left="0" w:right="0" w:hanging="0"/>
        <w:jc w:val="left"/>
        <w:rPr>
          <w:rFonts w:ascii="Times New Roman;Times;serif" w:hAnsi="Times New Roman;Times;serif"/>
          <w:sz w:val="20"/>
        </w:rPr>
      </w:pPr>
      <w:bookmarkStart w:id="55" w:name="endnote-2"/>
      <w:bookmarkEnd w:id="55"/>
      <w:r>
        <w:rPr>
          <w:rFonts w:ascii="Times New Roman;Times;serif" w:hAnsi="Times New Roman;Times;serif"/>
          <w:sz w:val="15"/>
        </w:rPr>
        <w:t>i</w:t>
      </w:r>
      <w:r>
        <w:rPr>
          <w:rFonts w:ascii="Times New Roman;Times;serif" w:hAnsi="Times New Roman;Times;serif"/>
          <w:sz w:val="20"/>
        </w:rPr>
        <w:t xml:space="preserve"> Sheth S </w:t>
      </w:r>
      <w:r>
        <w:rPr>
          <w:rFonts w:ascii="Helvetica;sans-serif" w:hAnsi="Helvetica;sans-serif"/>
          <w:sz w:val="20"/>
        </w:rPr>
        <w:t xml:space="preserve">et al. </w:t>
      </w:r>
      <w:r>
        <w:rPr>
          <w:rFonts w:ascii="Times New Roman;Times;serif" w:hAnsi="Times New Roman;Times;serif"/>
          <w:sz w:val="20"/>
        </w:rPr>
        <w:t xml:space="preserve">Mechanisms of Cisplatin Ototoxicity and Progress in Otoprotection. </w:t>
      </w:r>
      <w:r>
        <w:rPr>
          <w:rFonts w:ascii="Times New Roman;Times;serif" w:hAnsi="Times New Roman;Times;serif"/>
          <w:i/>
          <w:sz w:val="20"/>
        </w:rPr>
        <w:t>Frontiers in Cellular Neuroscience</w:t>
      </w:r>
      <w:r>
        <w:rPr>
          <w:rFonts w:ascii="Times New Roman;Times;serif" w:hAnsi="Times New Roman;Times;serif"/>
          <w:sz w:val="20"/>
        </w:rPr>
        <w:t>. 2017, Vol. 11.</w:t>
      </w:r>
    </w:p>
    <w:p>
      <w:pPr>
        <w:pStyle w:val="TextBody"/>
        <w:bidi w:val="0"/>
        <w:spacing w:lineRule="auto" w:line="285" w:before="0" w:after="0"/>
        <w:ind w:left="0" w:right="0" w:hanging="0"/>
        <w:jc w:val="left"/>
        <w:rPr>
          <w:rFonts w:ascii="Times New Roman;Times;serif" w:hAnsi="Times New Roman;Times;serif"/>
          <w:sz w:val="20"/>
        </w:rPr>
      </w:pPr>
      <w:bookmarkStart w:id="56" w:name="endnote-3"/>
      <w:bookmarkEnd w:id="56"/>
      <w:r>
        <w:rPr>
          <w:rFonts w:ascii="Times New Roman;Times;serif" w:hAnsi="Times New Roman;Times;serif"/>
          <w:sz w:val="15"/>
        </w:rPr>
        <w:t>ii</w:t>
      </w:r>
      <w:r>
        <w:rPr>
          <w:rFonts w:ascii="Times New Roman;Times;serif" w:hAnsi="Times New Roman;Times;serif"/>
          <w:sz w:val="20"/>
        </w:rPr>
        <w:t xml:space="preserve"> </w:t>
      </w:r>
      <w:r>
        <w:rPr>
          <w:rFonts w:ascii="Helvetica;sans-serif" w:hAnsi="Helvetica;sans-serif"/>
          <w:sz w:val="20"/>
        </w:rPr>
        <w:t xml:space="preserve">Langer T, am Zehnhoff-Dinnesen A, Radtke S, Meitert J, Zolk O. Understanding platinum-induced ototoxicity. </w:t>
      </w:r>
      <w:r>
        <w:rPr>
          <w:rFonts w:ascii="Helvetica;sans-serif" w:hAnsi="Helvetica;sans-serif"/>
          <w:i/>
          <w:sz w:val="20"/>
        </w:rPr>
        <w:t>Trends Pharmacol Sci</w:t>
      </w:r>
      <w:r>
        <w:rPr>
          <w:rFonts w:ascii="Helvetica;sans-serif" w:hAnsi="Helvetica;sans-serif"/>
          <w:sz w:val="20"/>
        </w:rPr>
        <w:t>. 2013;34(8):458-469</w:t>
      </w:r>
    </w:p>
    <w:p>
      <w:pPr>
        <w:pStyle w:val="TextBody"/>
        <w:bidi w:val="0"/>
        <w:spacing w:lineRule="auto" w:line="285" w:before="0" w:after="0"/>
        <w:ind w:left="0" w:right="0" w:hanging="0"/>
        <w:jc w:val="left"/>
        <w:rPr>
          <w:rFonts w:ascii="Times New Roman;Times;serif" w:hAnsi="Times New Roman;Times;serif"/>
          <w:sz w:val="20"/>
        </w:rPr>
      </w:pPr>
      <w:bookmarkStart w:id="57" w:name="endnote-4"/>
      <w:bookmarkEnd w:id="57"/>
      <w:r>
        <w:rPr>
          <w:rFonts w:ascii="Times New Roman;Times;serif" w:hAnsi="Times New Roman;Times;serif"/>
          <w:sz w:val="15"/>
        </w:rPr>
        <w:t>iii</w:t>
      </w:r>
      <w:r>
        <w:rPr>
          <w:rFonts w:ascii="Times New Roman;Times;serif" w:hAnsi="Times New Roman;Times;serif"/>
          <w:sz w:val="20"/>
        </w:rPr>
        <w:t xml:space="preserve"> </w:t>
      </w:r>
      <w:r>
        <w:rPr>
          <w:rFonts w:ascii="Helvetica;sans-serif" w:hAnsi="Helvetica;sans-serif"/>
          <w:sz w:val="20"/>
        </w:rPr>
        <w:t xml:space="preserve">Landier W. Ototoxicity and Cancer Therapy. </w:t>
      </w:r>
      <w:r>
        <w:rPr>
          <w:rFonts w:ascii="Helvetica;sans-serif" w:hAnsi="Helvetica;sans-serif"/>
          <w:i/>
          <w:sz w:val="20"/>
        </w:rPr>
        <w:t>Cancer</w:t>
      </w:r>
      <w:r>
        <w:rPr>
          <w:rFonts w:ascii="Helvetica;sans-serif" w:hAnsi="Helvetica;sans-serif"/>
          <w:sz w:val="20"/>
        </w:rPr>
        <w:t>. June 2016 Vol. 122, No.11: 1647-1658</w:t>
      </w:r>
      <w:r>
        <w:rPr>
          <w:rFonts w:ascii="Helvetica;sans-serif" w:hAnsi="Helvetica;sans-serif"/>
          <w:sz w:val="20"/>
          <w:shd w:fill="FFFFFF" w:val="clear"/>
        </w:rPr>
        <w:t>.</w:t>
      </w:r>
    </w:p>
    <w:p>
      <w:pPr>
        <w:pStyle w:val="TextBody"/>
        <w:bidi w:val="0"/>
        <w:spacing w:lineRule="auto" w:line="285" w:before="0" w:after="0"/>
        <w:ind w:left="0" w:right="0" w:hanging="0"/>
        <w:jc w:val="left"/>
        <w:rPr>
          <w:rFonts w:ascii="Times New Roman;Times;serif" w:hAnsi="Times New Roman;Times;serif"/>
          <w:sz w:val="20"/>
        </w:rPr>
      </w:pPr>
      <w:bookmarkStart w:id="58" w:name="endnote-5"/>
      <w:bookmarkEnd w:id="58"/>
      <w:r>
        <w:rPr>
          <w:rFonts w:ascii="Times New Roman;Times;serif" w:hAnsi="Times New Roman;Times;serif"/>
          <w:sz w:val="15"/>
        </w:rPr>
        <w:t>iv</w:t>
      </w:r>
      <w:r>
        <w:rPr>
          <w:rFonts w:ascii="Times New Roman;Times;serif" w:hAnsi="Times New Roman;Times;serif"/>
          <w:sz w:val="20"/>
        </w:rPr>
        <w:t xml:space="preserve"> </w:t>
      </w:r>
      <w:r>
        <w:rPr>
          <w:rFonts w:ascii="Helvetica;sans-serif" w:hAnsi="Helvetica;sans-serif"/>
          <w:sz w:val="20"/>
        </w:rPr>
        <w:t xml:space="preserve">Clemens E, van den Heuvel-Eibrink MM, Mulder RL, et al. Recommendations for ototoxicity surveillance for childhood, adolescent, and young adult cancer survivors: a report from the International Late Effects of Childhood Cancer Guideline Harmonization Group in collaboration with the PanCare Consortium. </w:t>
      </w:r>
      <w:r>
        <w:rPr>
          <w:rFonts w:ascii="Helvetica;sans-serif" w:hAnsi="Helvetica;sans-serif"/>
          <w:i/>
          <w:sz w:val="20"/>
        </w:rPr>
        <w:t>Lancet Oncol</w:t>
      </w:r>
      <w:r>
        <w:rPr>
          <w:rFonts w:ascii="Helvetica;sans-serif" w:hAnsi="Helvetica;sans-serif"/>
          <w:sz w:val="20"/>
        </w:rPr>
        <w:t>. 2019;20(1):e29-e41</w:t>
      </w:r>
    </w:p>
    <w:p>
      <w:pPr>
        <w:pStyle w:val="TextBody"/>
        <w:bidi w:val="0"/>
        <w:spacing w:lineRule="auto" w:line="285" w:before="0" w:after="0"/>
        <w:ind w:left="0" w:right="0" w:hanging="0"/>
        <w:jc w:val="left"/>
        <w:rPr>
          <w:rFonts w:ascii="Times New Roman;Times;serif" w:hAnsi="Times New Roman;Times;serif"/>
          <w:sz w:val="20"/>
        </w:rPr>
      </w:pPr>
      <w:bookmarkStart w:id="59" w:name="endnote-6"/>
      <w:bookmarkEnd w:id="59"/>
      <w:r>
        <w:rPr>
          <w:rFonts w:ascii="Times New Roman;Times;serif" w:hAnsi="Times New Roman;Times;serif"/>
          <w:sz w:val="15"/>
        </w:rPr>
        <w:t>v</w:t>
      </w:r>
      <w:r>
        <w:rPr>
          <w:rFonts w:ascii="Times New Roman;Times;serif" w:hAnsi="Times New Roman;Times;serif"/>
          <w:sz w:val="20"/>
        </w:rPr>
        <w:t xml:space="preserve"> </w:t>
      </w:r>
      <w:r>
        <w:rPr>
          <w:rFonts w:ascii="Helvetica;sans-serif" w:hAnsi="Helvetica;sans-serif"/>
          <w:sz w:val="20"/>
        </w:rPr>
        <w:t xml:space="preserve">Bass JK, Knight KR, Yock TI, Chang KW, Cipkala D, Grewal SS. Evaluation and management of hearing loss in survivors of childhood and adolescent cancers: a report from the children’s oncology group. </w:t>
      </w:r>
      <w:r>
        <w:rPr>
          <w:rFonts w:ascii="Helvetica;sans-serif" w:hAnsi="Helvetica;sans-serif"/>
          <w:i/>
          <w:sz w:val="20"/>
        </w:rPr>
        <w:t>Pediatr Blood Cancer</w:t>
      </w:r>
      <w:r>
        <w:rPr>
          <w:rFonts w:ascii="Helvetica;sans-serif" w:hAnsi="Helvetica;sans-serif"/>
          <w:sz w:val="20"/>
        </w:rPr>
        <w:t>. 2016;63(7):1152-1162.</w:t>
      </w:r>
    </w:p>
    <w:p>
      <w:pPr>
        <w:pStyle w:val="TextBody"/>
        <w:bidi w:val="0"/>
        <w:spacing w:lineRule="auto" w:line="285" w:before="0" w:after="0"/>
        <w:ind w:left="0" w:right="0" w:hanging="0"/>
        <w:jc w:val="left"/>
        <w:rPr>
          <w:rFonts w:ascii="Times New Roman;Times;serif" w:hAnsi="Times New Roman;Times;serif"/>
          <w:sz w:val="20"/>
        </w:rPr>
      </w:pPr>
      <w:bookmarkStart w:id="60" w:name="endnote-7"/>
      <w:bookmarkEnd w:id="60"/>
      <w:r>
        <w:rPr>
          <w:rFonts w:ascii="Times New Roman;Times;serif" w:hAnsi="Times New Roman;Times;serif"/>
          <w:sz w:val="15"/>
        </w:rPr>
        <w:t>vi</w:t>
      </w:r>
      <w:r>
        <w:rPr>
          <w:rFonts w:ascii="Times New Roman;Times;serif" w:hAnsi="Times New Roman;Times;serif"/>
          <w:sz w:val="20"/>
        </w:rPr>
        <w:t xml:space="preserve"> Chattaraj A et al. Cisplatin-Induced Ototoxicity: A Concise Review of the Burden, Prevention, and Interception Strategies. </w:t>
      </w:r>
      <w:r>
        <w:rPr>
          <w:rFonts w:ascii="Times New Roman;Times;serif" w:hAnsi="Times New Roman;Times;serif"/>
          <w:i/>
          <w:sz w:val="20"/>
        </w:rPr>
        <w:t>JCO Oncol Pract</w:t>
      </w:r>
      <w:r>
        <w:rPr>
          <w:rFonts w:ascii="Times New Roman;Times;serif" w:hAnsi="Times New Roman;Times;serif"/>
          <w:sz w:val="20"/>
        </w:rPr>
        <w:t>. 2023;19</w:t>
      </w:r>
    </w:p>
    <w:p>
      <w:pPr>
        <w:pStyle w:val="TextBody"/>
        <w:bidi w:val="0"/>
        <w:spacing w:lineRule="auto" w:line="285" w:before="0" w:after="0"/>
        <w:ind w:left="0" w:right="0" w:hanging="0"/>
        <w:jc w:val="left"/>
        <w:rPr>
          <w:rFonts w:ascii="Times New Roman;Times;serif" w:hAnsi="Times New Roman;Times;serif"/>
          <w:sz w:val="20"/>
        </w:rPr>
      </w:pPr>
      <w:bookmarkStart w:id="61" w:name="endnote-8"/>
      <w:bookmarkEnd w:id="61"/>
      <w:r>
        <w:rPr>
          <w:rFonts w:ascii="Times New Roman;Times;serif" w:hAnsi="Times New Roman;Times;serif"/>
          <w:sz w:val="15"/>
        </w:rPr>
        <w:t>vii</w:t>
      </w:r>
      <w:r>
        <w:rPr>
          <w:rFonts w:ascii="Times New Roman;Times;serif" w:hAnsi="Times New Roman;Times;serif"/>
          <w:sz w:val="20"/>
        </w:rPr>
        <w:t xml:space="preserve"> Freyer DR et al. Effects of sodium thiosulfate versus observation on development of cisplatin-induced hearing loss in children with cancer (ACCL0431): a multicentre, randomised, controlled, open-label, phase 3 trial. </w:t>
      </w:r>
      <w:r>
        <w:rPr>
          <w:rFonts w:ascii="Times New Roman;Times;serif" w:hAnsi="Times New Roman;Times;serif"/>
          <w:i/>
          <w:sz w:val="20"/>
        </w:rPr>
        <w:t>Lancet Oncol</w:t>
      </w:r>
      <w:r>
        <w:rPr>
          <w:rFonts w:ascii="Times New Roman;Times;serif" w:hAnsi="Times New Roman;Times;serif"/>
          <w:sz w:val="20"/>
        </w:rPr>
        <w:t>. 2017;18(1):63-74.</w:t>
      </w:r>
    </w:p>
    <w:p>
      <w:pPr>
        <w:pStyle w:val="TextBody"/>
        <w:bidi w:val="0"/>
        <w:spacing w:lineRule="auto" w:line="285" w:before="0" w:after="0"/>
        <w:ind w:left="0" w:right="0" w:hanging="0"/>
        <w:jc w:val="left"/>
        <w:rPr>
          <w:rFonts w:ascii="Times New Roman;Times;serif" w:hAnsi="Times New Roman;Times;serif"/>
          <w:sz w:val="20"/>
        </w:rPr>
      </w:pPr>
      <w:bookmarkStart w:id="62" w:name="endnote-9"/>
      <w:bookmarkEnd w:id="62"/>
      <w:r>
        <w:rPr>
          <w:rFonts w:ascii="Times New Roman;Times;serif" w:hAnsi="Times New Roman;Times;serif"/>
          <w:sz w:val="15"/>
        </w:rPr>
        <w:t>viii</w:t>
      </w:r>
      <w:r>
        <w:rPr>
          <w:rFonts w:ascii="Times New Roman;Times;serif" w:hAnsi="Times New Roman;Times;serif"/>
          <w:sz w:val="20"/>
        </w:rPr>
        <w:t xml:space="preserve"> </w:t>
      </w:r>
      <w:r>
        <w:rPr>
          <w:rFonts w:ascii="Helvetica;sans-serif" w:hAnsi="Helvetica;sans-serif"/>
          <w:sz w:val="20"/>
        </w:rPr>
        <w:t>Rajput K, Edwards L, Brock P, Abiodun A, Simpkin P, Al-Malky G. Ototoxicity-induced hearing loss and quality of life in survivors of paediatric cancer</w:t>
      </w:r>
      <w:r>
        <w:rPr>
          <w:rFonts w:ascii="Helvetica;sans-serif" w:hAnsi="Helvetica;sans-serif"/>
          <w:i/>
          <w:sz w:val="20"/>
        </w:rPr>
        <w:t>. Int J Pediatr Otorhinolaryngol</w:t>
      </w:r>
      <w:r>
        <w:rPr>
          <w:rFonts w:ascii="Helvetica;sans-serif" w:hAnsi="Helvetica;sans-serif"/>
          <w:sz w:val="20"/>
        </w:rPr>
        <w:t>. 2020;138:110401. doi:10.1016/j.ijporl.2020.110401</w:t>
      </w:r>
    </w:p>
    <w:p>
      <w:pPr>
        <w:pStyle w:val="TextBody"/>
        <w:bidi w:val="0"/>
        <w:spacing w:lineRule="auto" w:line="285" w:before="0" w:after="0"/>
        <w:ind w:left="0" w:right="0" w:hanging="0"/>
        <w:jc w:val="left"/>
        <w:rPr>
          <w:rFonts w:ascii="Times New Roman;Times;serif" w:hAnsi="Times New Roman;Times;serif"/>
          <w:sz w:val="20"/>
        </w:rPr>
      </w:pPr>
      <w:bookmarkStart w:id="63" w:name="endnote-10"/>
      <w:bookmarkEnd w:id="63"/>
      <w:r>
        <w:rPr>
          <w:rFonts w:ascii="Times New Roman;Times;serif" w:hAnsi="Times New Roman;Times;serif"/>
          <w:sz w:val="15"/>
        </w:rPr>
        <w:t>ix</w:t>
      </w:r>
      <w:r>
        <w:rPr>
          <w:rFonts w:ascii="Times New Roman;Times;serif" w:hAnsi="Times New Roman;Times;serif"/>
          <w:sz w:val="20"/>
        </w:rPr>
        <w:t xml:space="preserve"> </w:t>
      </w:r>
      <w:r>
        <w:rPr>
          <w:rFonts w:ascii="Helvetica;sans-serif" w:hAnsi="Helvetica;sans-serif"/>
          <w:sz w:val="20"/>
        </w:rPr>
        <w:t>Bass JK, Knight KR, Yock TI, Chang KW, Cipkala D, Grewal SS. Evaluation and management of hearing loss in survivors of childhood and adolescent cancers: a report from the children’s oncology group. Pediatr Blood Cancer. 2016;63(7):1152-1162.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3769</Words>
  <Characters>22469</Characters>
  <CharactersWithSpaces>26680</CharactersWithSpaces>
  <Paragraphs>1060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