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4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160" w:right="460" w:hanging="3136"/>
        <w:spacing w:after="0" w:line="258" w:lineRule="auto"/>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jc w:val="center"/>
        <w:ind w:left="3480" w:right="440" w:hanging="3456"/>
        <w:spacing w:after="0" w:line="391" w:lineRule="auto"/>
        <w:tabs>
          <w:tab w:leader="none" w:pos="63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 to ____</w:t>
      </w: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001-32295</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FENNEC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540" w:type="dxa"/>
            <w:vAlign w:val="bottom"/>
            <w:tcBorders>
              <w:top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2"/>
              </w:rPr>
              <w:t>British Columbia, Canada</w:t>
            </w:r>
          </w:p>
        </w:tc>
        <w:tc>
          <w:tcPr>
            <w:tcW w:w="468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b w:val="1"/>
                <w:bCs w:val="1"/>
                <w:color w:val="auto"/>
              </w:rPr>
              <w:t>20-0442384</w:t>
            </w:r>
          </w:p>
        </w:tc>
      </w:tr>
      <w:tr>
        <w:trPr>
          <w:trHeight w:val="216"/>
        </w:trPr>
        <w:tc>
          <w:tcPr>
            <w:tcW w:w="5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(State or Other Jurisdiction of</w:t>
            </w:r>
          </w:p>
        </w:tc>
        <w:tc>
          <w:tcPr>
            <w:tcW w:w="468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Incorporation or Organization)</w:t>
            </w:r>
          </w:p>
        </w:tc>
        <w:tc>
          <w:tcPr>
            <w:tcW w:w="468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5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PO Box 13628, 68 TW Alexander Drive</w:t>
            </w:r>
          </w:p>
        </w:tc>
        <w:tc>
          <w:tcPr>
            <w:tcW w:w="4680" w:type="dxa"/>
            <w:vAlign w:val="bottom"/>
          </w:tcPr>
          <w:p>
            <w:pPr>
              <w:spacing w:after="0"/>
              <w:rPr>
                <w:sz w:val="24"/>
                <w:szCs w:val="24"/>
                <w:color w:val="auto"/>
              </w:rPr>
            </w:pPr>
          </w:p>
        </w:tc>
      </w:tr>
      <w:tr>
        <w:trPr>
          <w:trHeight w:val="216"/>
        </w:trPr>
        <w:tc>
          <w:tcPr>
            <w:tcW w:w="5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Research Triangle Park, North Carolina</w:t>
            </w:r>
          </w:p>
        </w:tc>
        <w:tc>
          <w:tcPr>
            <w:tcW w:w="4680" w:type="dxa"/>
            <w:vAlign w:val="bottom"/>
          </w:tcPr>
          <w:p>
            <w:pPr>
              <w:jc w:val="right"/>
              <w:ind w:right="2230"/>
              <w:spacing w:after="0"/>
              <w:rPr>
                <w:sz w:val="20"/>
                <w:szCs w:val="20"/>
                <w:color w:val="auto"/>
              </w:rPr>
            </w:pPr>
            <w:r>
              <w:rPr>
                <w:rFonts w:ascii="Arial" w:cs="Arial" w:eastAsia="Arial" w:hAnsi="Arial"/>
                <w:sz w:val="18"/>
                <w:szCs w:val="18"/>
                <w:b w:val="1"/>
                <w:bCs w:val="1"/>
                <w:color w:val="auto"/>
              </w:rPr>
              <w:t>27709</w:t>
            </w:r>
          </w:p>
        </w:tc>
      </w:tr>
      <w:tr>
        <w:trPr>
          <w:trHeight w:val="241"/>
        </w:trPr>
        <w:tc>
          <w:tcPr>
            <w:tcW w:w="5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6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Registrant’s Telephone Number, Including Area Code: (919) 636-4530</w:t>
      </w:r>
    </w:p>
    <w:p>
      <w:pPr>
        <w:spacing w:after="0" w:line="162"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FENC</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134" w:lineRule="exact"/>
        <w:rPr>
          <w:sz w:val="24"/>
          <w:szCs w:val="24"/>
          <w:color w:val="auto"/>
        </w:rPr>
      </w:pPr>
    </w:p>
    <w:p>
      <w:pPr>
        <w:jc w:val="both"/>
        <w:ind w:left="20"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lef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lef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760" w:type="dxa"/>
            <w:vAlign w:val="bottom"/>
          </w:tcPr>
          <w:p>
            <w:pPr>
              <w:spacing w:after="0"/>
              <w:rPr>
                <w:sz w:val="20"/>
                <w:szCs w:val="20"/>
                <w:color w:val="auto"/>
              </w:rPr>
            </w:pPr>
            <w:r>
              <w:rPr>
                <w:rFonts w:ascii="Arial" w:cs="Arial" w:eastAsia="Arial" w:hAnsi="Arial"/>
                <w:sz w:val="18"/>
                <w:szCs w:val="18"/>
                <w:color w:val="auto"/>
                <w:w w:val="93"/>
              </w:rPr>
              <w:t>Large 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9"/>
              </w:rPr>
              <w:t>Non-Accelerated Filer</w:t>
            </w:r>
          </w:p>
        </w:tc>
        <w:tc>
          <w:tcPr>
            <w:tcW w:w="252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ind w:left="230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7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340" w:type="dxa"/>
            <w:vAlign w:val="bottom"/>
          </w:tcPr>
          <w:p>
            <w:pPr>
              <w:ind w:left="230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left="20"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0" w:right="680"/>
        <w:spacing w:after="0" w:line="320"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3, 2023, there were 26,634,676 of the registrant's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514985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0"/>
          </w:tcPr>
          <w:p>
            <w:pPr>
              <w:ind w:left="64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900" w:type="dxa"/>
            <w:vAlign w:val="bottom"/>
            <w:gridSpan w:val="14"/>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5520" w:type="dxa"/>
            <w:vAlign w:val="bottom"/>
            <w:gridSpan w:val="10"/>
            <w:vMerge w:val="restart"/>
          </w:tcPr>
          <w:p>
            <w:pPr>
              <w:spacing w:after="0"/>
              <w:rPr>
                <w:sz w:val="24"/>
                <w:szCs w:val="24"/>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5520" w:type="dxa"/>
            <w:vAlign w:val="bottom"/>
            <w:gridSpan w:val="10"/>
            <w:vMerge w:val="continue"/>
          </w:tcPr>
          <w:p>
            <w:pPr>
              <w:spacing w:after="0"/>
              <w:rPr>
                <w:sz w:val="14"/>
                <w:szCs w:val="14"/>
                <w:color w:val="auto"/>
              </w:rPr>
            </w:pPr>
          </w:p>
        </w:tc>
        <w:tc>
          <w:tcPr>
            <w:tcW w:w="5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420" w:type="dxa"/>
            <w:vAlign w:val="bottom"/>
            <w:gridSpan w:val="24"/>
          </w:tcPr>
          <w:p>
            <w:pPr>
              <w:spacing w:after="0"/>
              <w:rPr>
                <w:sz w:val="20"/>
                <w:szCs w:val="20"/>
                <w:color w:val="auto"/>
              </w:rPr>
            </w:pPr>
            <w:r>
              <w:rPr>
                <w:rFonts w:ascii="Arial" w:cs="Arial" w:eastAsia="Arial" w:hAnsi="Arial"/>
                <w:sz w:val="18"/>
                <w:szCs w:val="18"/>
                <w:color w:val="0000EE"/>
              </w:rPr>
              <w:t>Item 1. Condensed Consolidated Financial Statements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8"/>
              </w:rPr>
              <w:t>Condensed Consolidated Balance Sheets (Unaudited) as of September 30, 2023 and December 31, 2022</w:t>
            </w:r>
          </w:p>
        </w:tc>
        <w:tc>
          <w:tcPr>
            <w:tcW w:w="920" w:type="dxa"/>
            <w:vAlign w:val="bottom"/>
            <w:gridSpan w:val="4"/>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1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89"/>
              </w:rPr>
              <w:t>Condensed Consolidated Statements of Operations (Unaudited) for the Three and Nine Months Ended September</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20" w:type="dxa"/>
            <w:vAlign w:val="bottom"/>
            <w:gridSpan w:val="24"/>
          </w:tcPr>
          <w:p>
            <w:pPr>
              <w:spacing w:after="0" w:line="196" w:lineRule="exact"/>
              <w:rPr>
                <w:sz w:val="20"/>
                <w:szCs w:val="20"/>
                <w:color w:val="auto"/>
              </w:rPr>
            </w:pPr>
            <w:r>
              <w:rPr>
                <w:rFonts w:ascii="Arial" w:cs="Arial" w:eastAsia="Arial" w:hAnsi="Arial"/>
                <w:sz w:val="18"/>
                <w:szCs w:val="18"/>
                <w:color w:val="0000EE"/>
              </w:rPr>
              <w:t>30, 2023 and 2022</w:t>
            </w: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20" w:type="dxa"/>
            <w:vAlign w:val="bottom"/>
            <w:gridSpan w:val="24"/>
          </w:tcPr>
          <w:p>
            <w:pPr>
              <w:spacing w:after="0"/>
              <w:rPr>
                <w:sz w:val="20"/>
                <w:szCs w:val="20"/>
                <w:color w:val="auto"/>
              </w:rPr>
            </w:pPr>
            <w:r>
              <w:rPr>
                <w:rFonts w:ascii="Arial" w:cs="Arial" w:eastAsia="Arial" w:hAnsi="Arial"/>
                <w:sz w:val="18"/>
                <w:szCs w:val="18"/>
                <w:color w:val="0000EE"/>
                <w:w w:val="94"/>
              </w:rPr>
              <w:t>Condensed Consolidated Statements of Stockholders' Equity (Unaudited) for the Three and Nine Months Ended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0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September 30, 2023, and 2022</w:t>
            </w:r>
          </w:p>
        </w:tc>
        <w:tc>
          <w:tcPr>
            <w:tcW w:w="36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Condensed Consolidated Statements of Cash Flows (Unaudited) for the Nine Months Ended September 30, 2023</w:t>
            </w:r>
          </w:p>
        </w:tc>
        <w:tc>
          <w:tcPr>
            <w:tcW w:w="280" w:type="dxa"/>
            <w:vAlign w:val="bottom"/>
            <w:gridSpan w:val="2"/>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8"/>
        </w:trPr>
        <w:tc>
          <w:tcPr>
            <w:tcW w:w="8420" w:type="dxa"/>
            <w:vAlign w:val="bottom"/>
            <w:gridSpan w:val="24"/>
            <w:vMerge w:val="restart"/>
          </w:tcPr>
          <w:p>
            <w:pPr>
              <w:spacing w:after="0" w:line="196" w:lineRule="exact"/>
              <w:rPr>
                <w:sz w:val="20"/>
                <w:szCs w:val="20"/>
                <w:color w:val="auto"/>
              </w:rPr>
            </w:pPr>
            <w:r>
              <w:rPr>
                <w:rFonts w:ascii="Arial" w:cs="Arial" w:eastAsia="Arial" w:hAnsi="Arial"/>
                <w:sz w:val="18"/>
                <w:szCs w:val="18"/>
                <w:color w:val="0000EE"/>
              </w:rPr>
              <w:t>and 2022</w:t>
            </w: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420" w:type="dxa"/>
            <w:vAlign w:val="bottom"/>
            <w:gridSpan w:val="24"/>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8"/>
              </w:rPr>
              <w:t>Notes to the Condensed Consolidated Financial Statements</w:t>
            </w:r>
          </w:p>
        </w:tc>
        <w:tc>
          <w:tcPr>
            <w:tcW w:w="4160" w:type="dxa"/>
            <w:vAlign w:val="bottom"/>
            <w:gridSpan w:val="8"/>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70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Item 2. Management's Discussion and Analysis of Financial Condition and Results of Operations</w:t>
            </w:r>
          </w:p>
        </w:tc>
        <w:tc>
          <w:tcPr>
            <w:tcW w:w="1420" w:type="dxa"/>
            <w:vAlign w:val="bottom"/>
            <w:gridSpan w:val="5"/>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Item 3. Quantitative and Qualitative Disclosures About Market Risk</w:t>
            </w:r>
          </w:p>
        </w:tc>
        <w:tc>
          <w:tcPr>
            <w:tcW w:w="3500" w:type="dxa"/>
            <w:vAlign w:val="bottom"/>
            <w:gridSpan w:val="6"/>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Item 4. Controls and Procedures</w:t>
            </w:r>
          </w:p>
        </w:tc>
        <w:tc>
          <w:tcPr>
            <w:tcW w:w="6080" w:type="dxa"/>
            <w:vAlign w:val="bottom"/>
            <w:gridSpan w:val="13"/>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5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PART II: OTHER INFORMATION</w:t>
            </w:r>
          </w:p>
        </w:tc>
        <w:tc>
          <w:tcPr>
            <w:tcW w:w="5840" w:type="dxa"/>
            <w:vAlign w:val="bottom"/>
            <w:gridSpan w:val="12"/>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Item 1. Legal Proceedings</w:t>
            </w:r>
          </w:p>
        </w:tc>
        <w:tc>
          <w:tcPr>
            <w:tcW w:w="6520" w:type="dxa"/>
            <w:vAlign w:val="bottom"/>
            <w:gridSpan w:val="16"/>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Item 1A. Risk Factors</w:t>
            </w:r>
          </w:p>
        </w:tc>
        <w:tc>
          <w:tcPr>
            <w:tcW w:w="6820" w:type="dxa"/>
            <w:vAlign w:val="bottom"/>
            <w:gridSpan w:val="18"/>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8420" w:type="dxa"/>
            <w:vAlign w:val="bottom"/>
            <w:gridSpan w:val="24"/>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90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3. Defaults Upon Senior Securities</w:t>
            </w:r>
          </w:p>
        </w:tc>
        <w:tc>
          <w:tcPr>
            <w:tcW w:w="3520" w:type="dxa"/>
            <w:vAlign w:val="bottom"/>
            <w:gridSpan w:val="7"/>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28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Item 4. Mine Safety Disclosures</w:t>
            </w:r>
          </w:p>
        </w:tc>
        <w:tc>
          <w:tcPr>
            <w:tcW w:w="5540" w:type="dxa"/>
            <w:vAlign w:val="bottom"/>
            <w:gridSpan w:val="11"/>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2"/>
              </w:rPr>
              <w:t>Item 5. Other Information</w:t>
            </w:r>
          </w:p>
        </w:tc>
        <w:tc>
          <w:tcPr>
            <w:tcW w:w="440" w:type="dxa"/>
            <w:vAlign w:val="bottom"/>
            <w:tcBorders>
              <w:top w:val="single" w:sz="8" w:color="0000EE"/>
            </w:tcBorders>
            <w:gridSpan w:val="3"/>
          </w:tcPr>
          <w:p>
            <w:pPr>
              <w:spacing w:after="0"/>
              <w:rPr>
                <w:sz w:val="24"/>
                <w:szCs w:val="24"/>
                <w:color w:val="auto"/>
              </w:rPr>
            </w:pPr>
          </w:p>
        </w:tc>
        <w:tc>
          <w:tcPr>
            <w:tcW w:w="6100" w:type="dxa"/>
            <w:vAlign w:val="bottom"/>
            <w:gridSpan w:val="14"/>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Item 6. Exhibits</w:t>
            </w:r>
          </w:p>
        </w:tc>
        <w:tc>
          <w:tcPr>
            <w:tcW w:w="7260" w:type="dxa"/>
            <w:vAlign w:val="bottom"/>
            <w:gridSpan w:val="20"/>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8420" w:type="dxa"/>
            <w:vAlign w:val="bottom"/>
            <w:gridSpan w:val="24"/>
          </w:tcPr>
          <w:p>
            <w:pPr>
              <w:spacing w:after="0"/>
              <w:rPr>
                <w:sz w:val="20"/>
                <w:szCs w:val="20"/>
                <w:color w:val="auto"/>
              </w:rPr>
            </w:pPr>
            <w:r>
              <w:rPr>
                <w:rFonts w:ascii="Arial" w:cs="Arial" w:eastAsia="Arial" w:hAnsi="Arial"/>
                <w:sz w:val="18"/>
                <w:szCs w:val="18"/>
                <w:color w:val="0000EE"/>
              </w:rPr>
              <w:t>Signatures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27"/>
        </w:trPr>
        <w:tc>
          <w:tcPr>
            <w:tcW w:w="40" w:type="dxa"/>
            <w:vAlign w:val="bottom"/>
            <w:tcBorders>
              <w:top w:val="single" w:sz="8" w:color="0000EE"/>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and shares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September 30,</w:t>
            </w:r>
          </w:p>
        </w:tc>
        <w:tc>
          <w:tcPr>
            <w:tcW w:w="1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ROU asset non-current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issuance costs, net of amortization</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26,939</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2,941</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Operating lease liability - current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PIK interest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Debt discount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liability - net of current portion</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ind w:left="100"/>
              <w:spacing w:after="0" w:line="201" w:lineRule="exact"/>
              <w:rPr>
                <w:sz w:val="20"/>
                <w:szCs w:val="20"/>
                <w:color w:val="auto"/>
              </w:rPr>
            </w:pPr>
            <w:r>
              <w:rPr>
                <w:rFonts w:ascii="Arial" w:cs="Arial" w:eastAsia="Arial" w:hAnsi="Arial"/>
                <w:sz w:val="18"/>
                <w:szCs w:val="18"/>
                <w:color w:val="auto"/>
                <w:w w:val="91"/>
              </w:rPr>
              <w:t>Common stock, no par value; unlimited shares authorized; 26,635 shares issued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and outstanding (2022 </w:t>
            </w:r>
            <w:r>
              <w:rPr>
                <w:rFonts w:ascii="MS PGothic" w:cs="MS PGothic" w:eastAsia="MS PGothic" w:hAnsi="MS PGothic"/>
                <w:sz w:val="18"/>
                <w:szCs w:val="18"/>
                <w:color w:val="auto"/>
              </w:rPr>
              <w:t>‑</w:t>
            </w:r>
            <w:r>
              <w:rPr>
                <w:rFonts w:ascii="Arial" w:cs="Arial" w:eastAsia="Arial" w:hAnsi="Arial"/>
                <w:sz w:val="18"/>
                <w:szCs w:val="18"/>
                <w:color w:val="auto"/>
              </w:rPr>
              <w:t xml:space="preserve"> 26,361)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143,560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142,591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(216,563)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(203,200)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holders’ deficit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19,028</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PEDMARK® product sales, net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Realized foreign exchange (loss)/gain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Unrealized loss on 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expense</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Basic net loss per common share</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(0.31)</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net loss per common share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w w:val="91"/>
              </w:rPr>
              <w:t>Weighted-average number of common shares outstanding</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26,596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26,108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26,523</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26,105</w:t>
            </w:r>
          </w:p>
        </w:tc>
        <w:tc>
          <w:tcPr>
            <w:tcW w:w="0" w:type="dxa"/>
            <w:vAlign w:val="bottom"/>
          </w:tcPr>
          <w:p>
            <w:pPr>
              <w:spacing w:after="0"/>
              <w:rPr>
                <w:sz w:val="1"/>
                <w:szCs w:val="1"/>
                <w:color w:val="auto"/>
              </w:rPr>
            </w:pPr>
          </w:p>
        </w:tc>
      </w:tr>
      <w:tr>
        <w:trPr>
          <w:trHeight w:val="261"/>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6"/>
              </w:rPr>
              <w:t>Weighted-average number of common shares outstanding</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26,596</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26,108</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26,105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left="1500" w:right="2080"/>
        <w:spacing w:after="0" w:line="250" w:lineRule="auto"/>
        <w:rPr>
          <w:sz w:val="20"/>
          <w:szCs w:val="20"/>
          <w:color w:val="auto"/>
        </w:rPr>
      </w:pPr>
      <w:r>
        <w:rPr>
          <w:rFonts w:ascii="Arial" w:cs="Arial" w:eastAsia="Arial" w:hAnsi="Arial"/>
          <w:sz w:val="18"/>
          <w:szCs w:val="18"/>
          <w:b w:val="1"/>
          <w:bCs w:val="1"/>
          <w:color w:val="auto"/>
        </w:rPr>
        <w:t>Condensed Consolidated Statements of Stockholders’ Equity Three and Nine Months Ended September 30, 2023, and 2022 (U.S. dollars and shares in thousands) (Unaudited)</w:t>
      </w:r>
    </w:p>
    <w:tbl>
      <w:tblPr>
        <w:tblLayout w:type="fixed"/>
        <w:tblInd w:w="40" w:type="dxa"/>
        <w:tblCellMar>
          <w:top w:w="0" w:type="dxa"/>
          <w:left w:w="0" w:type="dxa"/>
          <w:bottom w:w="0" w:type="dxa"/>
          <w:right w:w="0" w:type="dxa"/>
        </w:tblCellMar>
      </w:tblPr>
      <w:tr>
        <w:trPr>
          <w:trHeight w:val="141"/>
        </w:trPr>
        <w:tc>
          <w:tcPr>
            <w:tcW w:w="3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6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2"/>
            <w:vMerge w:val="continue"/>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76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26,361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$ 142,591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$ 56,797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(203,200)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(2,569)</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1,089</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1,089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213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213</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release</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(20)</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(20)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(6,052)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(6,052)</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26,411</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b w:val="1"/>
                <w:bCs w:val="1"/>
                <w:color w:val="auto"/>
                <w:w w:val="92"/>
              </w:rPr>
              <w:t>142,804</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center"/>
              <w:ind w:left="13"/>
              <w:spacing w:after="0"/>
              <w:rPr>
                <w:sz w:val="20"/>
                <w:szCs w:val="20"/>
                <w:color w:val="auto"/>
              </w:rPr>
            </w:pPr>
            <w:r>
              <w:rPr>
                <w:rFonts w:ascii="Arial" w:cs="Arial" w:eastAsia="Arial" w:hAnsi="Arial"/>
                <w:sz w:val="18"/>
                <w:szCs w:val="18"/>
                <w:b w:val="1"/>
                <w:bCs w:val="1"/>
                <w:color w:val="auto"/>
                <w:w w:val="90"/>
              </w:rPr>
              <w:t>57,866</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0"/>
              </w:rPr>
              <w:t>(209,252)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(7,339)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3"/>
              </w:rPr>
              <w:t>2,543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2,543</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40" w:type="dxa"/>
            <w:vAlign w:val="bottom"/>
          </w:tcPr>
          <w:p>
            <w:pPr>
              <w:spacing w:after="0"/>
              <w:rPr>
                <w:sz w:val="18"/>
                <w:szCs w:val="18"/>
                <w:color w:val="auto"/>
              </w:rPr>
            </w:pPr>
          </w:p>
        </w:tc>
        <w:tc>
          <w:tcPr>
            <w:tcW w:w="740" w:type="dxa"/>
            <w:vAlign w:val="bottom"/>
          </w:tcPr>
          <w:p>
            <w:pPr>
              <w:jc w:val="center"/>
              <w:ind w:left="11"/>
              <w:spacing w:after="0"/>
              <w:rPr>
                <w:sz w:val="20"/>
                <w:szCs w:val="20"/>
                <w:color w:val="auto"/>
              </w:rPr>
            </w:pPr>
            <w:r>
              <w:rPr>
                <w:rFonts w:ascii="Arial" w:cs="Arial" w:eastAsia="Arial" w:hAnsi="Arial"/>
                <w:sz w:val="18"/>
                <w:szCs w:val="18"/>
                <w:color w:val="auto"/>
                <w:w w:val="93"/>
              </w:rPr>
              <w:t>541</w:t>
            </w:r>
          </w:p>
        </w:tc>
        <w:tc>
          <w:tcPr>
            <w:tcW w:w="140" w:type="dxa"/>
            <w:vAlign w:val="bottom"/>
          </w:tcPr>
          <w:p>
            <w:pPr>
              <w:spacing w:after="0"/>
              <w:rPr>
                <w:sz w:val="18"/>
                <w:szCs w:val="18"/>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541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release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3"/>
              </w:rPr>
              <w:t>(28)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center"/>
              <w:ind w:left="12"/>
              <w:spacing w:after="0"/>
              <w:rPr>
                <w:sz w:val="20"/>
                <w:szCs w:val="20"/>
                <w:color w:val="auto"/>
              </w:rPr>
            </w:pPr>
            <w:r>
              <w:rPr>
                <w:rFonts w:ascii="Arial" w:cs="Arial" w:eastAsia="Arial" w:hAnsi="Arial"/>
                <w:sz w:val="18"/>
                <w:szCs w:val="18"/>
                <w:color w:val="auto"/>
                <w:w w:val="91"/>
              </w:rPr>
              <w:t>(5,444)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(5,444)</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26,509</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b w:val="1"/>
                <w:bCs w:val="1"/>
                <w:color w:val="auto"/>
                <w:w w:val="92"/>
              </w:rPr>
              <w:t>143,345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b w:val="1"/>
                <w:bCs w:val="1"/>
                <w:color w:val="auto"/>
                <w:w w:val="90"/>
              </w:rPr>
              <w:t>60,381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0"/>
              </w:rPr>
              <w:t>(214,696)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(9,727)</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86"/>
              </w:rPr>
              <w:t>865</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865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215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215</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release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(17)</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(1,867)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(1,867)</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26,633</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$ 143,560</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$ 61,229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(216,563)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(10,531)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3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1"/>
        </w:trPr>
        <w:tc>
          <w:tcPr>
            <w:tcW w:w="3480" w:type="dxa"/>
            <w:vAlign w:val="bottom"/>
          </w:tcPr>
          <w:p>
            <w:pPr>
              <w:spacing w:after="0"/>
              <w:rPr>
                <w:sz w:val="17"/>
                <w:szCs w:val="17"/>
                <w:color w:val="auto"/>
              </w:rPr>
            </w:pPr>
          </w:p>
        </w:tc>
        <w:tc>
          <w:tcPr>
            <w:tcW w:w="14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7"/>
                <w:szCs w:val="17"/>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26,014</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$ 140,801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$ 53,214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 (179,486)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15,772</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86"/>
              </w:rPr>
              <w:t>399</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399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consultants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18"/>
                <w:szCs w:val="18"/>
                <w:color w:val="auto"/>
              </w:rPr>
            </w:pPr>
          </w:p>
        </w:tc>
        <w:tc>
          <w:tcPr>
            <w:tcW w:w="740" w:type="dxa"/>
            <w:vAlign w:val="bottom"/>
          </w:tcPr>
          <w:p>
            <w:pPr>
              <w:jc w:val="center"/>
              <w:ind w:left="31"/>
              <w:spacing w:after="0"/>
              <w:rPr>
                <w:sz w:val="20"/>
                <w:szCs w:val="20"/>
                <w:color w:val="auto"/>
              </w:rPr>
            </w:pPr>
            <w:r>
              <w:rPr>
                <w:rFonts w:ascii="Arial" w:cs="Arial" w:eastAsia="Arial" w:hAnsi="Arial"/>
                <w:sz w:val="18"/>
                <w:szCs w:val="18"/>
                <w:color w:val="auto"/>
                <w:w w:val="89"/>
              </w:rPr>
              <w:t>31</w:t>
            </w:r>
          </w:p>
        </w:tc>
        <w:tc>
          <w:tcPr>
            <w:tcW w:w="140" w:type="dxa"/>
            <w:vAlign w:val="bottom"/>
          </w:tcPr>
          <w:p>
            <w:pPr>
              <w:spacing w:after="0"/>
              <w:rPr>
                <w:sz w:val="18"/>
                <w:szCs w:val="18"/>
                <w:color w:val="auto"/>
              </w:rPr>
            </w:pP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(16)</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release</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12"/>
              <w:spacing w:after="0"/>
              <w:rPr>
                <w:sz w:val="20"/>
                <w:szCs w:val="20"/>
                <w:color w:val="auto"/>
              </w:rPr>
            </w:pPr>
            <w:r>
              <w:rPr>
                <w:rFonts w:ascii="Arial" w:cs="Arial" w:eastAsia="Arial" w:hAnsi="Arial"/>
                <w:sz w:val="18"/>
                <w:szCs w:val="18"/>
                <w:color w:val="auto"/>
                <w:w w:val="91"/>
              </w:rPr>
              <w:t>(3,696)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(3,696)</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26,040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b w:val="1"/>
                <w:bCs w:val="1"/>
                <w:color w:val="auto"/>
                <w:w w:val="92"/>
              </w:rPr>
              <w:t>140,832</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b w:val="1"/>
                <w:bCs w:val="1"/>
                <w:color w:val="auto"/>
                <w:w w:val="90"/>
              </w:rPr>
              <w:t>53,631</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0"/>
              </w:rPr>
              <w:t>(183,182)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12,524</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1,008</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1,008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consultants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35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18"/>
                <w:szCs w:val="18"/>
                <w:color w:val="auto"/>
              </w:rPr>
            </w:pPr>
          </w:p>
        </w:tc>
        <w:tc>
          <w:tcPr>
            <w:tcW w:w="740" w:type="dxa"/>
            <w:vAlign w:val="bottom"/>
          </w:tcPr>
          <w:p>
            <w:pPr>
              <w:jc w:val="center"/>
              <w:ind w:left="31"/>
              <w:spacing w:after="0"/>
              <w:rPr>
                <w:sz w:val="20"/>
                <w:szCs w:val="20"/>
                <w:color w:val="auto"/>
              </w:rPr>
            </w:pPr>
            <w:r>
              <w:rPr>
                <w:rFonts w:ascii="Arial" w:cs="Arial" w:eastAsia="Arial" w:hAnsi="Arial"/>
                <w:sz w:val="18"/>
                <w:szCs w:val="18"/>
                <w:color w:val="auto"/>
                <w:w w:val="89"/>
              </w:rPr>
              <w:t>90</w:t>
            </w:r>
          </w:p>
        </w:tc>
        <w:tc>
          <w:tcPr>
            <w:tcW w:w="140" w:type="dxa"/>
            <w:vAlign w:val="bottom"/>
          </w:tcPr>
          <w:p>
            <w:pPr>
              <w:spacing w:after="0"/>
              <w:rPr>
                <w:sz w:val="18"/>
                <w:szCs w:val="18"/>
                <w:color w:val="auto"/>
              </w:rPr>
            </w:pP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(44)</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release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12"/>
              <w:spacing w:after="0"/>
              <w:rPr>
                <w:sz w:val="20"/>
                <w:szCs w:val="20"/>
                <w:color w:val="auto"/>
              </w:rPr>
            </w:pPr>
            <w:r>
              <w:rPr>
                <w:rFonts w:ascii="Arial" w:cs="Arial" w:eastAsia="Arial" w:hAnsi="Arial"/>
                <w:sz w:val="18"/>
                <w:szCs w:val="18"/>
                <w:color w:val="auto"/>
                <w:w w:val="91"/>
              </w:rPr>
              <w:t>(5,072)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(5,072)</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26,067</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b w:val="1"/>
                <w:bCs w:val="1"/>
                <w:color w:val="auto"/>
                <w:w w:val="92"/>
              </w:rPr>
              <w:t>140,922</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Arial" w:cs="Arial" w:eastAsia="Arial" w:hAnsi="Arial"/>
                <w:sz w:val="18"/>
                <w:szCs w:val="18"/>
                <w:b w:val="1"/>
                <w:bCs w:val="1"/>
                <w:color w:val="auto"/>
                <w:w w:val="90"/>
              </w:rPr>
              <w:t>54,630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0"/>
              </w:rPr>
              <w:t>(188,254)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8,541</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Stock-based compensation - employees</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3"/>
              </w:rPr>
              <w:t>1,853</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1,853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 consultants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89"/>
              </w:rPr>
              <w:t>34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Warrants issued to creditor</w:t>
            </w:r>
          </w:p>
        </w:tc>
        <w:tc>
          <w:tcPr>
            <w:tcW w:w="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86"/>
              </w:rPr>
              <w:t>441</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441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3"/>
              </w:rPr>
              <w:t>387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0"/>
              </w:rPr>
              <w:t>(199)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Arial" w:cs="Arial" w:eastAsia="Arial" w:hAnsi="Arial"/>
                <w:sz w:val="18"/>
                <w:szCs w:val="18"/>
                <w:color w:val="auto"/>
              </w:rPr>
              <w:t>Restricted stock release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center"/>
              <w:ind w:left="13"/>
              <w:spacing w:after="0"/>
              <w:rPr>
                <w:sz w:val="20"/>
                <w:szCs w:val="20"/>
                <w:color w:val="auto"/>
              </w:rPr>
            </w:pPr>
            <w:r>
              <w:rPr>
                <w:rFonts w:ascii="Arial" w:cs="Arial" w:eastAsia="Arial" w:hAnsi="Arial"/>
                <w:sz w:val="18"/>
                <w:szCs w:val="18"/>
                <w:color w:val="auto"/>
                <w:w w:val="90"/>
              </w:rPr>
              <w:t>(166)</w:t>
            </w:r>
          </w:p>
        </w:tc>
        <w:tc>
          <w:tcPr>
            <w:tcW w:w="1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(166)</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1"/>
              </w:rPr>
              <w:t>(8,089)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(8,089)</w:t>
            </w:r>
          </w:p>
        </w:tc>
        <w:tc>
          <w:tcPr>
            <w:tcW w:w="0" w:type="dxa"/>
            <w:vAlign w:val="bottom"/>
          </w:tcPr>
          <w:p>
            <w:pPr>
              <w:spacing w:after="0"/>
              <w:rPr>
                <w:sz w:val="1"/>
                <w:szCs w:val="1"/>
                <w:color w:val="auto"/>
              </w:rPr>
            </w:pPr>
          </w:p>
        </w:tc>
      </w:tr>
      <w:tr>
        <w:trPr>
          <w:trHeight w:val="228"/>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26,238</w:t>
            </w:r>
          </w:p>
        </w:tc>
        <w:tc>
          <w:tcPr>
            <w:tcW w:w="14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$ 141,309</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1"/>
              </w:rPr>
              <w:t>$ 56,593</w:t>
            </w:r>
          </w:p>
        </w:tc>
        <w:tc>
          <w:tcPr>
            <w:tcW w:w="14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9"/>
              </w:rPr>
              <w:t>$ (196,343)</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1,243</w:t>
            </w: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-10795</wp:posOffset>
            </wp:positionV>
            <wp:extent cx="1268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-130175</wp:posOffset>
            </wp:positionV>
            <wp:extent cx="3446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provided by:</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(13,363)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(16,857)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9"/>
              </w:rPr>
              <w:t>Adjustments to reconcile net loss to net cash used in operating activities: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access fees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securities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3"/>
              </w:rPr>
              <w:t>126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Stock-based compensation - consultants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3"/>
              </w:rPr>
              <w:t>103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 employees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8"/>
              </w:rPr>
              <w:t>3,260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Prepaid expenses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523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3"/>
              </w:rPr>
              <w:t>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Inventory</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80"/>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8"/>
              </w:rPr>
              <w:t>1,756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liabilities and PIK interest</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(592)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5"/>
              </w:rPr>
              <w:t>(483)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(12,283)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right="11"/>
              <w:spacing w:after="0"/>
              <w:rPr>
                <w:sz w:val="20"/>
                <w:szCs w:val="20"/>
                <w:color w:val="auto"/>
              </w:rPr>
            </w:pPr>
            <w:r>
              <w:rPr>
                <w:rFonts w:ascii="Arial" w:cs="Arial" w:eastAsia="Arial" w:hAnsi="Arial"/>
                <w:sz w:val="18"/>
                <w:szCs w:val="18"/>
                <w:color w:val="auto"/>
                <w:w w:val="89"/>
              </w:rPr>
              <w:t>(11,256)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25,000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paid</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1"/>
              </w:rPr>
              <w:t>(5,000)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Issuance of shares, options exercise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969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3"/>
              </w:rPr>
              <w:t>249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 on restricted share release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5"/>
              </w:rPr>
              <w:t>(166)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Capitalized deferred issuance costs</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5"/>
              </w:rPr>
              <w:t>(175)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908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19,908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cash and cash equivalents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8"/>
              </w:rPr>
              <w:t>8,652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23,774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12,399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29,752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6"/>
        </w:trPr>
        <w:tc>
          <w:tcPr>
            <w:tcW w:w="4840" w:type="dxa"/>
            <w:vAlign w:val="bottom"/>
          </w:tcPr>
          <w:p>
            <w:pPr>
              <w:spacing w:after="0"/>
              <w:rPr>
                <w:sz w:val="20"/>
                <w:szCs w:val="20"/>
                <w:color w:val="auto"/>
              </w:rPr>
            </w:pPr>
            <w:r>
              <w:rPr>
                <w:rFonts w:ascii="Arial" w:cs="Arial" w:eastAsia="Arial" w:hAnsi="Arial"/>
                <w:sz w:val="18"/>
                <w:szCs w:val="18"/>
                <w:color w:val="auto"/>
              </w:rPr>
              <w:t>Capitalized lease asset</w:t>
            </w:r>
          </w:p>
        </w:tc>
        <w:tc>
          <w:tcPr>
            <w:tcW w:w="198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197"/>
        </w:trPr>
        <w:tc>
          <w:tcPr>
            <w:tcW w:w="4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Warrants issued for long-term debt</w:t>
            </w: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Going Concern</w:t>
      </w:r>
    </w:p>
    <w:p>
      <w:pPr>
        <w:spacing w:after="0" w:line="229"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Fennec Pharmaceuticals Inc., a corporation existing under the laws of British Columbia (“Fennec,” the “Company,” “we,” “us,” or “our”), was originally formed under the name Adherex Technologies Inc. and subsequently changed its name on September 3, 2014. Fennec is a commercial stage specialty pharmaceutical company with one U.S. Food and Drug Administration (“FDA”) approved and European Commission approved product , PEDMARK</w:t>
      </w:r>
      <w:r>
        <w:rPr>
          <w:rFonts w:ascii="Arial" w:cs="Arial" w:eastAsia="Arial" w:hAnsi="Arial"/>
          <w:sz w:val="23"/>
          <w:szCs w:val="23"/>
          <w:color w:val="auto"/>
          <w:vertAlign w:val="superscript"/>
        </w:rPr>
        <w:t>®</w:t>
      </w:r>
      <w:r>
        <w:rPr>
          <w:rFonts w:ascii="Arial" w:cs="Arial" w:eastAsia="Arial" w:hAnsi="Arial"/>
          <w:sz w:val="16"/>
          <w:szCs w:val="16"/>
          <w:color w:val="auto"/>
        </w:rPr>
        <w:t>, developed to reduce the risk of ototoxicity associated with cisplatin in pediatric patients one month of age and older with localized, non-metastatic solid tumors. The Company has four wholly owned subsidiaries: Oxiquant, Inc. (“Oxiquant”) and Fennec Pharmaceuticals, Inc., both Delaware corporations, Cadherin Biomedical Inc. (“CBI”), a Canadian corporation, and Fennec Pharmaceuticals (EU) Limited (“Fennec Limited”), an Ireland company, collectively referred to herein as the “Company.” With the exception of Fennec Pharmaceuticals, Inc. and Fennec Pharmaceuticals (EU) all subsidiaries are inactive.</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three and nine months ended September 30, 2023, the Company incurred a loss from operations of $1,017 and $10,953, respectively. At September 30, 2023, it had an accumulated deficit of $216,563 and had experienced negative cash flows from operating activities during the nine months ended September 30, 2023, in the amount of $12,283.</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 August 1, 2022, the Company entered into a Securities Purchase Agreement (the “SPA”) with Petrichor Opportunities Fund I LP (the “Investor”) in connection with the issuance of up to $45,000 of senior secured floating rate convertible notes (the “Notes”), issuable in multiple tranches (the “Note Financing”). On August 19, 2022, the Company closed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In connection with the first closing, the Company repaid in full its secured indebtedness with Bridge Bank in the amount of $5,000.</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September 23, 2022, the Company closed the second tranche of the Note Financing in the amount of $20,000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“Second Closing Note”), which has an initial conversion price equal to $7.89 per share, which was calculated based on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 premium of the 5-day VWAP immediately prior to September 20, 2022, which was the date the Company obtained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FDA approval of PEDMARK®.</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Subsequent to the funding of the Second Closing Note, and before December 31, 2023, the Company may draw up to $20,000 of additional financing under the SPA, in one or more tranches of $10,000 upon mutual agreement of the Company and the Investor (the “Subsequent Closing Notes”). The Subsequent Closing Notes will be convertible at a price per share equal to $7.89 per share, which price is calculated on the same basis as for the Second Closing Note. ​</w:t>
      </w:r>
    </w:p>
    <w:p>
      <w:pPr>
        <w:spacing w:after="0" w:line="2" w:lineRule="exact"/>
        <w:rPr>
          <w:sz w:val="20"/>
          <w:szCs w:val="20"/>
          <w:color w:val="auto"/>
        </w:rPr>
      </w:pPr>
    </w:p>
    <w:p>
      <w:pPr>
        <w:ind w:left="60" w:right="59"/>
        <w:spacing w:after="0" w:line="250" w:lineRule="auto"/>
        <w:rPr>
          <w:sz w:val="20"/>
          <w:szCs w:val="20"/>
          <w:color w:val="auto"/>
        </w:rPr>
      </w:pPr>
      <w:r>
        <w:rPr>
          <w:rFonts w:ascii="Arial" w:cs="Arial" w:eastAsia="Arial" w:hAnsi="Arial"/>
          <w:sz w:val="18"/>
          <w:szCs w:val="18"/>
          <w:color w:val="auto"/>
        </w:rPr>
        <w:t>A commitment fee of 2.0% of the Notes was payable under the SPA. Half of such fee was paid by the issuance on the first closing of warrants to purchase approximately 0.05 Fennec common shares (“First Closing Warrant”) and half was payable in cash or warrants of approximately 0.05 Fennec common shares (“Second Closing Warrant”), at the Company’s election, on the second closing. The warrants are exercisable at a price per share of $8.11 and will have a term of five years from the date of the grant. The Company elected to have all the commitment fee of the Notes payable in warrants. ​</w:t>
      </w:r>
    </w:p>
    <w:p>
      <w:pPr>
        <w:spacing w:after="0" w:line="2" w:lineRule="exact"/>
        <w:rPr>
          <w:sz w:val="20"/>
          <w:szCs w:val="20"/>
          <w:color w:val="auto"/>
        </w:rPr>
      </w:pPr>
    </w:p>
    <w:p>
      <w:pPr>
        <w:jc w:val="both"/>
        <w:ind w:left="60" w:right="59"/>
        <w:spacing w:after="0" w:line="204" w:lineRule="auto"/>
        <w:rPr>
          <w:sz w:val="20"/>
          <w:szCs w:val="20"/>
          <w:color w:val="auto"/>
        </w:rPr>
      </w:pPr>
      <w:r>
        <w:rPr>
          <w:rFonts w:ascii="Arial" w:cs="Arial" w:eastAsia="Arial" w:hAnsi="Arial"/>
          <w:sz w:val="18"/>
          <w:szCs w:val="18"/>
          <w:color w:val="auto"/>
        </w:rPr>
        <w:t>The Company believes current funds, which include funds from the First Closing Note and the Second Closing Note, provide sufficient funding for the Company to carry out its planned activities, including the continuation of commercialization efforts of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United States and preparation for commercialization of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outside of the United States, for at least the next twelve months.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60" w:right="6279" w:hanging="10"/>
        <w:spacing w:after="0" w:line="407" w:lineRule="auto"/>
        <w:tabs>
          <w:tab w:leader="none" w:pos="37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5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condensed consolidated financial statements and notes filed with the Securities and Exchange Commission (“SEC”) in the Company’s Annual Report on Form 10-K for the year ended December 31, 2022. The Company’s accounting policies are consistent with those presented in the audited consolidated financial statements included in the Annual Report on Form 10-K for the year ended December 31, 2022. These unaudited interim condensed consolidated financial statements have been prepared in U.S. dollars. All amounts presented are in thousands except for per share amounts. The results of operations for the three and nine months ended September 30, 2023, are not necessarily indicative of results to be expected for the full fiscal year.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product sales discounts and allowances, allowance against trade receivables, measurement of stock-based compensation and estimates of the Company’s capital requirement over the next twelve months from the date of issuance of the consolidated financial statements. Actual results could differ from those estimates.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principally in the United States. As of September 30, 2023, the Company had an operating lease in Ireland. This is the only asset located outside of the United States.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Under the Company’s stock-based compensation programs, the Company periodically grants stock options and restricted stock units to employees, directors, and consultants. The fair value of each award is recognized in the Company’s statements of operations over the requisite service period for such award. ​</w:t>
      </w:r>
    </w:p>
    <w:p>
      <w:pPr>
        <w:spacing w:after="0" w:line="203"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information regarding safety, efficacy and expectations relating to commercial sales and recoverability of costs. Capitalized costs of inventories mainly include third party manufacturing, logistics and distribution costs. The Company assesses the recoverability of inventory each reporting period to determine any write down to net realizable value resulting from excess or obsolete inventories. The manufacturing costs for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prior to regulatory approval were not capitalized as inventory but were expensed as research and development costs. The Company expensed pre-launch inventory as it could not reasonably anticipate FDA approval of PEDMARK</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and estimating the amount of variable consideration to include in the transaction price.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Product Revenue</w:t>
      </w:r>
    </w:p>
    <w:p>
      <w:pPr>
        <w:spacing w:after="0" w:line="21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6"/>
          <w:szCs w:val="16"/>
          <w:color w:val="auto"/>
        </w:rPr>
        <w:t>On September 20, 2022, the FDA approved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United States to reduce the risk of ototoxicity associated with cisplatin in pediatric patients one month of age and older with localized, non-metastatic solid tumors.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became commercially available in the United States on October 17, 2022.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the Company’s first commercial product. The Company sells its product through the following specialty distributors: Amerisource Specialty Distribution (“ASD”), McKesson Plasma and Biologics, McKesson Specialty, and Cardinal Health Specialty (collectively the “Customers” and each a “Customer”). Further, the Company sells directly to other customers without the use of specialty distributors. These Customers subsequently resell the Company’s products to health care providers and patients. In addition to distribution agreements with Customers, the Company enters arrangements with health care providers and payors that provide for government-mandated and/or privately-negotiated rebates, chargebacks, and discounts with respect to the purchase of the Company’s products. Revenues from product sales are recognized when the Customer obtains control of the Company’s product, which occurs at a point in time, typically upon delivery to the Customer. The amount of revenue recognized is net of these discounts in an amount equal to the cash expected to be collected.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6"/>
          <w:szCs w:val="16"/>
          <w:color w:val="auto"/>
        </w:rPr>
        <w:t>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a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the Company’s first commercial product. Overall, 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is probable that a significant reversal in the amount of the cumulative revenue recognized will not occur in a future period. The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Chargebacks are discounts that occur when contracted customers purchase directly from a specialty</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spacing w:after="0" w:line="16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i w:val="1"/>
          <w:iCs w:val="1"/>
          <w:color w:val="auto"/>
        </w:rPr>
        <w:t xml:space="preserve">Discounts for Prompt Payment: </w:t>
      </w:r>
      <w:r>
        <w:rPr>
          <w:rFonts w:ascii="Arial" w:cs="Arial" w:eastAsia="Arial" w:hAnsi="Arial"/>
          <w:sz w:val="18"/>
          <w:szCs w:val="18"/>
          <w:color w:val="auto"/>
        </w:rPr>
        <w:t>Customers receive a discount of 0.65% for prompt payment. The Company expects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will earn 100% of their prompt payment discounts and, therefore, the Company deducts the full amount of these discounts from total product sales when revenues are recognized.</w:t>
      </w:r>
    </w:p>
    <w:p>
      <w:pPr>
        <w:spacing w:after="0" w:line="184"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7"/>
          <w:szCs w:val="17"/>
          <w:i w:val="1"/>
          <w:iCs w:val="1"/>
          <w:color w:val="auto"/>
        </w:rPr>
        <w:t xml:space="preserve">Rebates: </w:t>
      </w:r>
      <w:r>
        <w:rPr>
          <w:rFonts w:ascii="Arial" w:cs="Arial" w:eastAsia="Arial" w:hAnsi="Arial"/>
          <w:sz w:val="17"/>
          <w:szCs w:val="17"/>
          <w:color w:val="auto"/>
        </w:rPr>
        <w:t>Allowances for rebates include mandated discounts under the Medicaid Drug Rebate Program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the Company’s first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spacing w:after="0" w:line="19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 If actual program redemption varies from estimates, the Company may need to adjust its accruals, which would affect net product revenues in the period of adjustment.</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Other Customer Credits: </w:t>
      </w:r>
      <w:r>
        <w:rPr>
          <w:rFonts w:ascii="Arial" w:cs="Arial" w:eastAsia="Arial" w:hAnsi="Arial"/>
          <w:sz w:val="18"/>
          <w:szCs w:val="18"/>
          <w:color w:val="auto"/>
        </w:rPr>
        <w:t>The Company pays fees to certain of its Customers for account management, data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administrative services. To the extent the services received are distinct from the sale of products to its Customers, the Company classifies these payments in selling and marketing, general and administrative expenses in its Condensed Consolidated Statements of Operations.</w:t>
      </w:r>
    </w:p>
    <w:p>
      <w:pPr>
        <w:spacing w:after="0" w:line="177" w:lineRule="exact"/>
        <w:rPr>
          <w:sz w:val="20"/>
          <w:szCs w:val="20"/>
          <w:color w:val="auto"/>
        </w:rPr>
      </w:pPr>
    </w:p>
    <w:p>
      <w:pPr>
        <w:jc w:val="both"/>
        <w:ind w:left="60" w:right="59"/>
        <w:spacing w:after="0" w:line="216" w:lineRule="auto"/>
        <w:rPr>
          <w:sz w:val="20"/>
          <w:szCs w:val="20"/>
          <w:color w:val="auto"/>
        </w:rPr>
      </w:pPr>
      <w:r>
        <w:rPr>
          <w:rFonts w:ascii="Arial" w:cs="Arial" w:eastAsia="Arial" w:hAnsi="Arial"/>
          <w:sz w:val="18"/>
          <w:szCs w:val="18"/>
          <w:color w:val="auto"/>
        </w:rPr>
        <w:t>The following table summarizes net product revenues for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United States and abroad earned during the three and nine months ended September 30, 2023 and 2022, respectively:</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238"/>
        </w:trPr>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w w:val="96"/>
              </w:rPr>
              <w:t>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215"/>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09"/>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Gross product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6,919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12,525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Discounts and allowances</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(404)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Net product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6,515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11,517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1"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8"/>
          <w:szCs w:val="18"/>
          <w:color w:val="auto"/>
        </w:rPr>
        <w:t>The following table summarizes the percentage of total product revenues for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United States and abroad by Customers who individually accounted for 10% or more of total product revenues earned in the three and nine months ended September 30, 2023, and 2022, respectively:</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24"/>
        </w:trPr>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9"/>
                <w:szCs w:val="19"/>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w w:val="93"/>
              </w:rPr>
              <w:t>September 30,</w:t>
            </w: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Specialty Distributors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r>
      <w:tr>
        <w:trPr>
          <w:trHeight w:val="209"/>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ASD</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McKesson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Subtotal-Specialty Distributors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Direct Customers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60</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9"/>
        </w:trPr>
        <w:tc>
          <w:tcPr>
            <w:tcW w:w="4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left="60" w:right="59"/>
        <w:spacing w:after="0" w:line="226" w:lineRule="auto"/>
        <w:rPr>
          <w:sz w:val="20"/>
          <w:szCs w:val="20"/>
          <w:color w:val="auto"/>
        </w:rPr>
      </w:pPr>
      <w:r>
        <w:rPr>
          <w:rFonts w:ascii="Arial" w:cs="Arial" w:eastAsia="Arial" w:hAnsi="Arial"/>
          <w:sz w:val="17"/>
          <w:szCs w:val="17"/>
          <w:color w:val="auto"/>
        </w:rPr>
        <w:t>The activities and ending allowance balances for each significant category of discounts and allowances for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(which constitute variable consideration) for the nine months ended September 30, 2023, was as follows:</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Chargebacks,</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Rebates, Customer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Discounts for</w:t>
            </w:r>
          </w:p>
        </w:tc>
        <w:tc>
          <w:tcPr>
            <w:tcW w:w="1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Fees/Credits</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Prompt pay and</w:t>
            </w:r>
          </w:p>
        </w:tc>
        <w:tc>
          <w:tcPr>
            <w:tcW w:w="1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and Co-Pay</w:t>
            </w:r>
          </w:p>
        </w:tc>
        <w:tc>
          <w:tcPr>
            <w:tcW w:w="28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Other allowances</w:t>
            </w:r>
          </w:p>
        </w:tc>
        <w:tc>
          <w:tcPr>
            <w:tcW w:w="1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Assistance</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163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3"/>
              </w:rPr>
              <w:t>234</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Provision related to sales made in: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3"/>
              </w:rPr>
              <w:t>233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Prior periods</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and customer credits issued</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71"/>
              <w:spacing w:after="0"/>
              <w:rPr>
                <w:sz w:val="20"/>
                <w:szCs w:val="20"/>
                <w:color w:val="auto"/>
              </w:rPr>
            </w:pPr>
            <w:r>
              <w:rPr>
                <w:rFonts w:ascii="Arial" w:cs="Arial" w:eastAsia="Arial" w:hAnsi="Arial"/>
                <w:sz w:val="18"/>
                <w:szCs w:val="18"/>
                <w:color w:val="auto"/>
                <w:w w:val="93"/>
              </w:rPr>
              <w:t>(97)</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214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3"/>
              </w:rPr>
              <w:t>370</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related to sales made in: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3"/>
              </w:rPr>
              <w:t>394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Current period</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Prior periods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Payments and customer credits issued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5"/>
              </w:rPr>
              <w:t>(317)</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238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3"/>
              </w:rPr>
              <w:t>447</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Provision related to sales made in: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period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3"/>
              </w:rPr>
              <w:t>514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Prior periods</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and customer credits issued</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51"/>
              <w:spacing w:after="0"/>
              <w:rPr>
                <w:sz w:val="20"/>
                <w:szCs w:val="20"/>
                <w:color w:val="auto"/>
              </w:rPr>
            </w:pPr>
            <w:r>
              <w:rPr>
                <w:rFonts w:ascii="Arial" w:cs="Arial" w:eastAsia="Arial" w:hAnsi="Arial"/>
                <w:sz w:val="18"/>
                <w:szCs w:val="18"/>
                <w:color w:val="auto"/>
                <w:w w:val="95"/>
              </w:rPr>
              <w:t>(378)</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236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347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3"/>
              </w:rPr>
              <w:t>583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The allowances for chargebacks, fees due to Customers, rebates and discounts for prompt payment are recorded as a contra-asset to accounts receivable, while Medicaid rebates and return allowances are in accrued liabilities in the accompanying Condensed Consolidated Balance Sheets.</w:t>
      </w:r>
    </w:p>
    <w:p>
      <w:pPr>
        <w:spacing w:after="0" w:line="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 Receivables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records gross trade receivables at the time of product sale to its Customers. Amounts estimated for the associated chargebacks, cash discounts for prompt payment and any allowances for credit losses are booked as a reserve against accounts receivable and reduction of revenue. The Company determines its allowance methodology by pooling receivable balances at the Customer level. The Company considers various factors, including loss history, individual credit risk associated to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characteristics of such a Customer. The Customers are mainly specialty distributors, and accordingly, the Company considers the risk of potential credit losses to be low. It is the policy of the Company to reserve 1% of its net sales to non-specialty distributors, as such the Company had an immaterial balance in allowance for doubtful accounts as of September 30, 2023.</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Products Sold</w:t>
      </w:r>
    </w:p>
    <w:p>
      <w:pPr>
        <w:spacing w:after="0" w:line="219" w:lineRule="exact"/>
        <w:rPr>
          <w:sz w:val="20"/>
          <w:szCs w:val="20"/>
          <w:color w:val="auto"/>
        </w:rPr>
      </w:pPr>
    </w:p>
    <w:p>
      <w:pPr>
        <w:jc w:val="both"/>
        <w:ind w:left="60" w:right="199"/>
        <w:spacing w:after="0" w:line="216" w:lineRule="auto"/>
        <w:rPr>
          <w:sz w:val="20"/>
          <w:szCs w:val="20"/>
          <w:color w:val="auto"/>
        </w:rPr>
      </w:pPr>
      <w:r>
        <w:rPr>
          <w:rFonts w:ascii="Arial" w:cs="Arial" w:eastAsia="Arial" w:hAnsi="Arial"/>
          <w:sz w:val="17"/>
          <w:szCs w:val="17"/>
          <w:color w:val="auto"/>
        </w:rPr>
        <w:t>Cost of products sold is related to the Company's product revenues for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consists primarily of product production costs associated with finished goods inventory and royalties (1% of net sales) the Company is required to pay to Oregon Health &amp; Science University (“OHSU”) on all net sales of PEDMARK</w:t>
      </w:r>
      <w:r>
        <w:rPr>
          <w:rFonts w:ascii="Arial" w:cs="Arial" w:eastAsia="Arial" w:hAnsi="Arial"/>
          <w:sz w:val="25"/>
          <w:szCs w:val="25"/>
          <w:color w:val="auto"/>
          <w:vertAlign w:val="superscript"/>
        </w:rPr>
        <w:t>®</w:t>
      </w:r>
      <w:r>
        <w:rPr>
          <w:rFonts w:ascii="Arial" w:cs="Arial" w:eastAsia="Arial" w:hAnsi="Arial"/>
          <w:sz w:val="17"/>
          <w:szCs w:val="17"/>
          <w:color w:val="auto"/>
        </w:rPr>
        <w:t>. The cost of products sold also consists of shipping and other third party logistics and distribution costs for PEDMARK</w:t>
      </w:r>
      <w:r>
        <w:rPr>
          <w:rFonts w:ascii="Arial" w:cs="Arial" w:eastAsia="Arial" w:hAnsi="Arial"/>
          <w:sz w:val="25"/>
          <w:szCs w:val="25"/>
          <w:color w:val="auto"/>
          <w:vertAlign w:val="superscript"/>
        </w:rPr>
        <w:t>®</w:t>
      </w:r>
      <w:r>
        <w:rPr>
          <w:rFonts w:ascii="Arial" w:cs="Arial" w:eastAsia="Arial" w:hAnsi="Arial"/>
          <w:sz w:val="17"/>
          <w:szCs w:val="17"/>
          <w:color w:val="auto"/>
        </w:rPr>
        <w:t>. The Company considered regulatory approval of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be uncertain and product manufactured prior to regulatory approval could not have been sold unless regulatory approval was obtained. As such, the manufacturing costs for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incurred prior to regulatory approval were not capitalized as inventory but were expensed as research and development costs. After FDA approval in September 2022, the Company had various lots of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various stages of production in connection with the product launch. As of September 30, 2023, the Company capitalized approximately $1.8 million of costs as inventory on the Condensed Consolidated Balance Sheet. Of the items capitalized, $0.1 million was capitalized as raw materials, $0.9 million was capitalized as work in process, $0.8 million was capitalized into finished goods, with $0.6 million being reclassified to cost of products sold.</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Cash equivalents consist of highly liquid investments with original maturities at the date of purchase of three months or less. The Company places its cash and cash equivalents in investments held by highly rated financial institutions in accordance with its investment policy designed to protect the principal investment. At September 30, 2023, the Company had $12,399 in cash, savings and money market accounts ($23,774 at December 31, 2022). At September 30, 2023, the Company held $2,007 in cash of which $488 (as presented in U.S. dollars) was in Canadian dollars ($34 at December 31, 2022 as presented in U.S. dollars). At September 30, 2023, the Company held $10,392 in money market investments. Money market investments typically have minimal risks. While the Company has not experienced any loss or write-down of its money market investments, the amounts it holds in money market accounts are substantially above the $250 amount insured by the FDIC and may lose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recognized on the balance sheets at September 30, 2023 and December 31, 2022 consist of cash and cash equivalents, accounts receivable, accounts payable and term loans, the carrying values of which approximate fair value due to their relatively short time to maturity or interest rates that approximate market interest rates. The Company does not hold or issue financial instruments for trading.</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policy risks are primarily the opportunity cost of the conservative nature of the allowable investments. Until the company is cash flow positive from operations, the Company has chosen to avoid investments of a trading or speculative nature.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 and Investment Tax Credits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ind w:left="60" w:right="199"/>
        <w:spacing w:after="0" w:line="296" w:lineRule="auto"/>
        <w:rPr>
          <w:sz w:val="20"/>
          <w:szCs w:val="20"/>
          <w:color w:val="auto"/>
        </w:rPr>
      </w:pPr>
      <w:r>
        <w:rPr>
          <w:rFonts w:ascii="Arial" w:cs="Arial" w:eastAsia="Arial" w:hAnsi="Arial"/>
          <w:sz w:val="16"/>
          <w:szCs w:val="16"/>
          <w:color w:val="auto"/>
        </w:rPr>
        <w:t>Financial instruments that potentially subject the Company to credit risk primarily consist of cash and cash equivalents, and accounts receivable. The Company maintains deposits in highly-rated,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spacing w:after="0" w:line="151" w:lineRule="exact"/>
        <w:rPr>
          <w:sz w:val="20"/>
          <w:szCs w:val="20"/>
          <w:color w:val="auto"/>
        </w:rPr>
      </w:pPr>
    </w:p>
    <w:p>
      <w:pPr>
        <w:jc w:val="both"/>
        <w:ind w:left="60" w:right="199"/>
        <w:spacing w:after="0" w:line="226" w:lineRule="auto"/>
        <w:rPr>
          <w:sz w:val="20"/>
          <w:szCs w:val="20"/>
          <w:color w:val="auto"/>
        </w:rPr>
      </w:pPr>
      <w:r>
        <w:rPr>
          <w:rFonts w:ascii="Arial" w:cs="Arial" w:eastAsia="Arial" w:hAnsi="Arial"/>
          <w:sz w:val="18"/>
          <w:szCs w:val="18"/>
          <w:color w:val="auto"/>
        </w:rPr>
        <w:t>The Company’s trade receivables include amounts billed to Customers for product sales of PEDMARK</w:t>
      </w:r>
      <w:r>
        <w:rPr>
          <w:rFonts w:ascii="Arial" w:cs="Arial" w:eastAsia="Arial" w:hAnsi="Arial"/>
          <w:sz w:val="26"/>
          <w:szCs w:val="26"/>
          <w:color w:val="auto"/>
          <w:vertAlign w:val="superscript"/>
        </w:rPr>
        <w:t>®</w:t>
      </w:r>
      <w:r>
        <w:rPr>
          <w:rFonts w:ascii="Arial" w:cs="Arial" w:eastAsia="Arial" w:hAnsi="Arial"/>
          <w:sz w:val="18"/>
          <w:szCs w:val="18"/>
          <w:color w:val="auto"/>
        </w:rPr>
        <w:t>. The Customers are a limited group of specialty distributors and select customers abroad, with substantial financial resources, and accordingly, the Company considers the risk of potential credit losses to be low.</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September 30, 2023, we maintained a full valuation allowance against our deferred tax assets.</w:t>
      </w:r>
    </w:p>
    <w:p>
      <w:pPr>
        <w:spacing w:after="0" w:line="1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 provisions of the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U.S. dollar is the functional currency for the Company’s consolidated operations. All gains and losses from currency transactions are included in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on Financial Instruments.” This ASU replaces the incurred loss impairment methodology in current US GAAP with a methodology that reflects expected credit losses and requires consideration of a broader range of reasonable and supportable information for credit loss estimates on certain types of financial instruments, including trade receivables. In addition, new disclosures are required. The ASU, as subsequently amended, is effective for the Company for fiscal years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beginning after December 15, 2022, as the Company is a smaller reporting company as defined in Item 10(f)(1) of Regulation S-K. We adopted ASU 2016-13 on January 1, 2023. Based on the composition of the Company’s accounts receivable, the adoption of this standard did not have a material impact on the Company’s consolidated financial statements or disclosures. Specifically, the Company’s estimate of expected credit losses as of September 30, 2023, using its expected credit loss evaluation process, resulted in no adjustments to the provision for credit losses and no cumulative effect adjustment to accumulated deficit on the adoption date of the standard.</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July 2023, the FASB issued Accounting Standards Update (“ASU”) 2023-03 to amend various SEC paragraphs in the Accounting Standards Codification to primarily reflect the issuance of SEC Staff Accounting Bulletin No. 120. ASU No. 2023-03, “Presentation of Financial Statements (Topic 205), Income Statement-Reporting Comprehensive Income (Topic 220), Distinguishing Liabilities from Equity (Topic 480), Equity (Topic 505), and Compensation-Stock Compensation (Topic 718): Amendments to SEC Paragraphs Pursuant to SEC Staff Accounting Bulletin No. 120, SEC Staff Announcement at the March 24, 2022 EITF Meeting, and Staff Accounting Bulletin Topic 6.B, Accounting Series Release 280-General Revision of Regulation S-X: Income or Loss Applicable to Common Stock.” ASU 2023-03 amends the ASC for SEC updates pursuant to SEC Staff Accounting Bulletin No. 120; SEC Staff Announcement at the March 24, 2022 Emerging Issues Task Force (“EITF”) Meeting; and Staff Accounting Bulletin Topic 6.B, Accounting Series Release 280 - General Revision of Regulation S-X: Income or Loss Applicable to Common Stock. These updates were immediately effective and did not have a material impact on our financial statements.</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October 2023, the FASB issued Accounting Standards Update (“ASU”) 2023-06 to amend various SEC paragraphs in the Accounting Standards Codification to primarily reflect SEC Release No. 33-10532, Disclosure Update and Simplification. ASU 2023-06 amends disclosure guidance over an entity’s accounting policy related to derivative instruments, material prior period adjustments upon a change in a reporting entity, earnings-per-share, encumbered assets, unused lines of credit and unfunded commitments, and liquidation preferences of preferred stock. The amendments are effective prospectively on the date each individual amendment is effectively removed from Regulation S-X or Regulation S-K.</w:t>
      </w:r>
    </w:p>
    <w:p>
      <w:pPr>
        <w:spacing w:after="0" w:line="191" w:lineRule="exact"/>
        <w:rPr>
          <w:sz w:val="20"/>
          <w:szCs w:val="20"/>
          <w:color w:val="auto"/>
        </w:rPr>
      </w:pPr>
    </w:p>
    <w:p>
      <w:pPr>
        <w:ind w:left="360" w:hanging="310"/>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Basic net loss per share is computed by dividing net loss by the weighted average number of common shares outstanding during the year. Diluted net loss per share is computed using the same method, except the weighted average number of common shares outstanding includes convertible debentures, stock options and warrants, if dilutive, as determined using the if-converted method and treasury methods. Accordingly, warrants to purchase 0.2 million of our common shares and options to purchase 5.0 million of our common shares at September 30, 2023, were not included in loss per share. Such instruments would have an antidilutive effect. During the same period in 2022, warrants to purchase 0.04 million of our common shares and options to purchase 4.3 million common shares were excluded from the computation of loss per share as their inclusion would have been anti dilutive</w:t>
      </w:r>
    </w:p>
    <w:p>
      <w:pPr>
        <w:spacing w:after="0" w:line="19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outstanding options and warrants were excluded from the computation of basic and diluted net loss per share for the periods presented because including them would have had an anti-dilutive effect: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38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65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2023</w:t>
            </w:r>
          </w:p>
        </w:tc>
        <w:tc>
          <w:tcPr>
            <w:tcW w:w="18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5,005</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4,466</w:t>
            </w:r>
          </w:p>
        </w:tc>
        <w:tc>
          <w:tcPr>
            <w:tcW w:w="180" w:type="dxa"/>
            <w:vAlign w:val="bottom"/>
            <w:shd w:val="clear" w:color="auto" w:fill="CCEEFF"/>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Warrants to purchase common shares</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80" w:type="dxa"/>
            <w:vAlign w:val="bottom"/>
          </w:tcPr>
          <w:p>
            <w:pPr>
              <w:spacing w:after="0"/>
              <w:rPr>
                <w:sz w:val="20"/>
                <w:szCs w:val="20"/>
                <w:color w:val="auto"/>
              </w:rPr>
            </w:pPr>
          </w:p>
        </w:tc>
      </w:tr>
    </w:tbl>
    <w:p>
      <w:pPr>
        <w:spacing w:after="0" w:line="210" w:lineRule="exact"/>
        <w:rPr>
          <w:sz w:val="20"/>
          <w:szCs w:val="20"/>
          <w:color w:val="auto"/>
        </w:rPr>
      </w:pPr>
    </w:p>
    <w:p>
      <w:pPr>
        <w:jc w:val="both"/>
        <w:ind w:left="60" w:right="7019" w:hanging="10"/>
        <w:spacing w:after="0" w:line="566" w:lineRule="auto"/>
        <w:tabs>
          <w:tab w:leader="none" w:pos="37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Authorized capital stock</w:t>
      </w:r>
    </w:p>
    <w:p>
      <w:pPr>
        <w:ind w:left="60"/>
        <w:spacing w:after="0"/>
        <w:rPr>
          <w:sz w:val="20"/>
          <w:szCs w:val="20"/>
          <w:color w:val="auto"/>
        </w:rPr>
      </w:pPr>
      <w:r>
        <w:rPr>
          <w:rFonts w:ascii="Arial" w:cs="Arial" w:eastAsia="Arial" w:hAnsi="Arial"/>
          <w:sz w:val="17"/>
          <w:szCs w:val="17"/>
          <w:color w:val="auto"/>
        </w:rPr>
        <w:t>The Company’s authorized capital stock consists of an unlimited number of common shares, no par value per share.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 to Purchase Common Stock</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three and nine months ended September 30, 2023 and 2022, there were no warrants issued or exercised. The company has 150 outstanding warrants have a weighted average life of 4.30 years, and a weighted average strike price of $7.79, on September 30,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Compensation Committee of the Board of Directors administers the Company’s equity incentive plan (the “Plan”). The Compensation Committee designates eligible participants to be included under the Plan and approves the number of equity instruments to be granted from time to time under the Plan. Currently, the maximum number of equity instruments issuable under the Plan, together with the Company’s prior stock option plan, is twenty-five percent (25%) of the total number of issued and outstanding common shares. Based upon the current shares outstanding, a maximum of 6,658 shares of common stock are authorized for issuance pursuant to stock options or other equity awards granted under the Plan. For all options issued under the Plan, the exercise price is the fair value of the underlying shares on the date of grant. All options vest within three years or less and are exercisable for a period of ten years from the date of grant. The Plan allows the issuance of Canadian and U.S. dollar grants. The table below outlines recognized contractor and employee expense from equity awards for the three and nine month periods ended September 30, 2023 and 2022.</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4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r>
      <w:tr>
        <w:trPr>
          <w:trHeight w:val="171"/>
        </w:trPr>
        <w:tc>
          <w:tcPr>
            <w:tcW w:w="38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Contractor options expense recognized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Employee options expense recognized</w:t>
            </w: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option expense recognized</w:t>
            </w: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3,363</w:t>
            </w:r>
          </w:p>
        </w:tc>
      </w:tr>
      <w:tr>
        <w:trPr>
          <w:trHeight w:val="20"/>
        </w:trPr>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option activity for the three and nine months ended September 30, 2023 for stock options denominated in U.S. dollars.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Options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 (thousands)</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Exercise Price $USD</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0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4,539</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00" w:type="dxa"/>
            <w:vAlign w:val="bottom"/>
            <w:gridSpan w:val="3"/>
          </w:tcPr>
          <w:p>
            <w:pPr>
              <w:jc w:val="center"/>
              <w:ind w:left="2170"/>
              <w:spacing w:after="0"/>
              <w:rPr>
                <w:sz w:val="20"/>
                <w:szCs w:val="20"/>
                <w:color w:val="auto"/>
              </w:rPr>
            </w:pPr>
            <w:r>
              <w:rPr>
                <w:rFonts w:ascii="Arial" w:cs="Arial" w:eastAsia="Arial" w:hAnsi="Arial"/>
                <w:sz w:val="18"/>
                <w:szCs w:val="18"/>
                <w:color w:val="auto"/>
                <w:w w:val="93"/>
              </w:rPr>
              <w:t>580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70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3"/>
              </w:rPr>
              <w:t>(49)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700" w:type="dxa"/>
            <w:vAlign w:val="bottom"/>
            <w:gridSpan w:val="3"/>
          </w:tcPr>
          <w:p>
            <w:pPr>
              <w:jc w:val="center"/>
              <w:ind w:left="2150"/>
              <w:spacing w:after="0"/>
              <w:rPr>
                <w:sz w:val="20"/>
                <w:szCs w:val="20"/>
                <w:color w:val="auto"/>
              </w:rPr>
            </w:pPr>
            <w:r>
              <w:rPr>
                <w:rFonts w:ascii="Arial" w:cs="Arial" w:eastAsia="Arial" w:hAnsi="Arial"/>
                <w:sz w:val="18"/>
                <w:szCs w:val="18"/>
                <w:color w:val="auto"/>
                <w:w w:val="93"/>
              </w:rPr>
              <w:t>(38)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2023</w:t>
            </w:r>
          </w:p>
        </w:tc>
        <w:tc>
          <w:tcPr>
            <w:tcW w:w="20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5,032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5.43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Granted</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70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3"/>
              </w:rPr>
              <w:t>(95)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700" w:type="dxa"/>
            <w:vAlign w:val="bottom"/>
            <w:gridSpan w:val="3"/>
          </w:tcPr>
          <w:p>
            <w:pPr>
              <w:jc w:val="center"/>
              <w:ind w:left="2170"/>
              <w:spacing w:after="0"/>
              <w:rPr>
                <w:sz w:val="20"/>
                <w:szCs w:val="20"/>
                <w:color w:val="auto"/>
              </w:rPr>
            </w:pPr>
            <w:r>
              <w:rPr>
                <w:rFonts w:ascii="Arial" w:cs="Arial" w:eastAsia="Arial" w:hAnsi="Arial"/>
                <w:sz w:val="18"/>
                <w:szCs w:val="18"/>
                <w:color w:val="auto"/>
                <w:w w:val="95"/>
              </w:rPr>
              <w:t>(175)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20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4,887</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color w:val="auto"/>
              </w:rPr>
              <w:t>Granted</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370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3700" w:type="dxa"/>
            <w:vAlign w:val="bottom"/>
            <w:gridSpan w:val="3"/>
            <w:shd w:val="clear" w:color="auto" w:fill="CCEEFF"/>
          </w:tcPr>
          <w:p>
            <w:pPr>
              <w:jc w:val="center"/>
              <w:ind w:left="2150"/>
              <w:spacing w:after="0"/>
              <w:rPr>
                <w:sz w:val="20"/>
                <w:szCs w:val="20"/>
                <w:color w:val="auto"/>
              </w:rPr>
            </w:pPr>
            <w:r>
              <w:rPr>
                <w:rFonts w:ascii="Arial" w:cs="Arial" w:eastAsia="Arial" w:hAnsi="Arial"/>
                <w:sz w:val="18"/>
                <w:szCs w:val="18"/>
                <w:color w:val="auto"/>
                <w:w w:val="93"/>
              </w:rPr>
              <w:t>(92)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700" w:type="dxa"/>
            <w:vAlign w:val="bottom"/>
            <w:gridSpan w:val="3"/>
          </w:tcPr>
          <w:p>
            <w:pPr>
              <w:jc w:val="center"/>
              <w:ind w:left="2170"/>
              <w:spacing w:after="0"/>
              <w:rPr>
                <w:sz w:val="20"/>
                <w:szCs w:val="20"/>
                <w:color w:val="auto"/>
              </w:rPr>
            </w:pPr>
            <w:r>
              <w:rPr>
                <w:rFonts w:ascii="Arial" w:cs="Arial" w:eastAsia="Arial" w:hAnsi="Arial"/>
                <w:sz w:val="18"/>
                <w:szCs w:val="18"/>
                <w:color w:val="auto"/>
                <w:w w:val="95"/>
              </w:rPr>
              <w:t>(160)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392"/>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5,005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80" w:type="dxa"/>
            <w:vAlign w:val="bottom"/>
            <w:vMerge w:val="restart"/>
          </w:tcPr>
          <w:p>
            <w:pPr>
              <w:jc w:val="right"/>
              <w:ind w:right="97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the 5,005 U.S. denominated options granted and outstanding at September 30, 2023, 3,932 are fully vested and exercisable.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value of options issued was estimated using the Black-Scholes option pricing model using the assumptions in the table below. The expected volatility was determined using historical volatility of our common shares based on the expected term of the award.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8"/>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Black-Scholes Model Assumptions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Assumptions</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Risk free rate</w:t>
            </w: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860" w:type="dxa"/>
            <w:vAlign w:val="bottom"/>
          </w:tcPr>
          <w:p>
            <w:pPr>
              <w:ind w:left="20"/>
              <w:spacing w:after="0"/>
              <w:rPr>
                <w:sz w:val="20"/>
                <w:szCs w:val="20"/>
                <w:color w:val="auto"/>
              </w:rPr>
            </w:pPr>
            <w:r>
              <w:rPr>
                <w:rFonts w:ascii="Arial" w:cs="Arial" w:eastAsia="Arial" w:hAnsi="Arial"/>
                <w:sz w:val="18"/>
                <w:szCs w:val="18"/>
                <w:color w:val="auto"/>
              </w:rPr>
              <w:t>- 5.12%</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Expected life</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ind w:left="20"/>
              <w:spacing w:after="0"/>
              <w:rPr>
                <w:sz w:val="20"/>
                <w:szCs w:val="20"/>
                <w:color w:val="auto"/>
              </w:rPr>
            </w:pPr>
            <w:r>
              <w:rPr>
                <w:rFonts w:ascii="Arial" w:cs="Arial" w:eastAsia="Arial" w:hAnsi="Arial"/>
                <w:sz w:val="18"/>
                <w:szCs w:val="18"/>
                <w:color w:val="auto"/>
                <w:w w:val="96"/>
              </w:rPr>
              <w:t>- 6.0 years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Share Units Activity</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Plan allows for the issuance of restricted share units (“RSUs”). The following is a summary of RSU activity for the three and nine months ended September 30, 2023. During the three and nine months ended September 30, 2023, there were 32 and 36 RSU’s released from restriction, respectively. During the three and nine months ended September 30, 2023, there were 84 and 101 RSUs forfeited by departing employees. RSUs vesting vary from one to three years.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7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RSUs Current Year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Restricted Share</w:t>
            </w:r>
          </w:p>
        </w:tc>
        <w:tc>
          <w:tcPr>
            <w:tcW w:w="0" w:type="dxa"/>
            <w:vAlign w:val="bottom"/>
          </w:tcPr>
          <w:p>
            <w:pPr>
              <w:spacing w:after="0"/>
              <w:rPr>
                <w:sz w:val="1"/>
                <w:szCs w:val="1"/>
                <w:color w:val="auto"/>
              </w:rPr>
            </w:pPr>
          </w:p>
        </w:tc>
      </w:tr>
      <w:tr>
        <w:trPr>
          <w:trHeight w:val="171"/>
        </w:trPr>
        <w:tc>
          <w:tcPr>
            <w:tcW w:w="7420" w:type="dxa"/>
            <w:vAlign w:val="bottom"/>
            <w:gridSpan w:val="2"/>
            <w:vMerge w:val="continue"/>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Units (thousands)</w:t>
            </w: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2022</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264</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0"/>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March 31, 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298</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6"/>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(17)</w:t>
            </w:r>
          </w:p>
        </w:tc>
        <w:tc>
          <w:tcPr>
            <w:tcW w:w="0" w:type="dxa"/>
            <w:vAlign w:val="bottom"/>
          </w:tcPr>
          <w:p>
            <w:pPr>
              <w:spacing w:after="0"/>
              <w:rPr>
                <w:sz w:val="1"/>
                <w:szCs w:val="1"/>
                <w:color w:val="auto"/>
              </w:rPr>
            </w:pPr>
          </w:p>
        </w:tc>
      </w:tr>
      <w:tr>
        <w:trPr>
          <w:trHeight w:val="210"/>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June 30, 2023</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376</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Released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(84)</w:t>
            </w:r>
          </w:p>
        </w:tc>
        <w:tc>
          <w:tcPr>
            <w:tcW w:w="0" w:type="dxa"/>
            <w:vAlign w:val="bottom"/>
          </w:tcPr>
          <w:p>
            <w:pPr>
              <w:spacing w:after="0"/>
              <w:rPr>
                <w:sz w:val="1"/>
                <w:szCs w:val="1"/>
                <w:color w:val="auto"/>
              </w:rPr>
            </w:pPr>
          </w:p>
        </w:tc>
      </w:tr>
      <w:tr>
        <w:trPr>
          <w:trHeight w:val="210"/>
        </w:trPr>
        <w:tc>
          <w:tcPr>
            <w:tcW w:w="74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September 30, 2023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260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value of RSUs issued was estimated using the share price on the date of the award multiplied by the number of common shares granted.</w:t>
      </w:r>
    </w:p>
    <w:p>
      <w:pPr>
        <w:spacing w:after="0" w:line="19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has adopted ASC 820, the Fair Value Measurements and Disclosure Topic of the FASB. This Topic applies to certain assets and liabilities that are being measured and reported on a fair value basis. The Fair Value Measurements 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used to determine fair values. The Topic requires that financial assets and liabilities carried at fair value be classified and disclosed in one of the following three categories: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18"/>
          </w:tcPr>
          <w:p>
            <w:pPr>
              <w:jc w:val="right"/>
              <w:spacing w:after="0"/>
              <w:rPr>
                <w:sz w:val="20"/>
                <w:szCs w:val="20"/>
                <w:color w:val="auto"/>
              </w:rPr>
            </w:pPr>
            <w:r>
              <w:rPr>
                <w:rFonts w:ascii="Arial" w:cs="Arial" w:eastAsia="Arial" w:hAnsi="Arial"/>
                <w:sz w:val="14"/>
                <w:szCs w:val="14"/>
                <w:b w:val="1"/>
                <w:bCs w:val="1"/>
                <w:color w:val="auto"/>
                <w:w w:val="95"/>
              </w:rPr>
              <w:t>Fair Value Measurement at September 30, 2023 and December 31, 2022</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5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Quoted Price in Active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3"/>
            <w:vMerge w:val="restart"/>
          </w:tcPr>
          <w:p>
            <w:pPr>
              <w:jc w:val="center"/>
              <w:ind w:right="76"/>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vMerge w:val="restart"/>
          </w:tcPr>
          <w:p>
            <w:pPr>
              <w:jc w:val="center"/>
              <w:ind w:right="176"/>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8"/>
              </w:rPr>
              <w:t>Market for Identical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left="203"/>
              <w:spacing w:after="0" w:line="149" w:lineRule="exact"/>
              <w:rPr>
                <w:sz w:val="20"/>
                <w:szCs w:val="20"/>
                <w:color w:val="auto"/>
              </w:rPr>
            </w:pPr>
            <w:r>
              <w:rPr>
                <w:rFonts w:ascii="Arial" w:cs="Arial" w:eastAsia="Arial" w:hAnsi="Arial"/>
                <w:sz w:val="14"/>
                <w:szCs w:val="14"/>
                <w:b w:val="1"/>
                <w:bCs w:val="1"/>
                <w:color w:val="auto"/>
                <w:w w:val="94"/>
              </w:rPr>
              <w:t>Instruments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38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w w:val="95"/>
              </w:rPr>
              <w:t>Unobservable Inputs</w:t>
            </w:r>
          </w:p>
        </w:tc>
        <w:tc>
          <w:tcPr>
            <w:tcW w:w="140" w:type="dxa"/>
            <w:vAlign w:val="bottom"/>
          </w:tcPr>
          <w:p>
            <w:pPr>
              <w:spacing w:after="0"/>
              <w:rPr>
                <w:sz w:val="12"/>
                <w:szCs w:val="12"/>
                <w:color w:val="auto"/>
              </w:rPr>
            </w:pPr>
          </w:p>
        </w:tc>
        <w:tc>
          <w:tcPr>
            <w:tcW w:w="1260" w:type="dxa"/>
            <w:vAlign w:val="bottom"/>
            <w:gridSpan w:val="3"/>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203"/>
              <w:spacing w:after="0"/>
              <w:rPr>
                <w:sz w:val="20"/>
                <w:szCs w:val="20"/>
                <w:color w:val="auto"/>
              </w:rPr>
            </w:pPr>
            <w:r>
              <w:rPr>
                <w:rFonts w:ascii="Arial" w:cs="Arial" w:eastAsia="Arial" w:hAnsi="Arial"/>
                <w:sz w:val="14"/>
                <w:szCs w:val="14"/>
                <w:b w:val="1"/>
                <w:bCs w:val="1"/>
                <w:color w:val="auto"/>
                <w:w w:val="92"/>
              </w:rPr>
              <w:t>Level 1</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76"/>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center"/>
              <w:ind w:left="101"/>
              <w:spacing w:after="0"/>
              <w:rPr>
                <w:sz w:val="20"/>
                <w:szCs w:val="20"/>
                <w:color w:val="auto"/>
              </w:rPr>
            </w:pPr>
            <w:r>
              <w:rPr>
                <w:rFonts w:ascii="Arial" w:cs="Arial" w:eastAsia="Arial" w:hAnsi="Arial"/>
                <w:sz w:val="14"/>
                <w:szCs w:val="14"/>
                <w:b w:val="1"/>
                <w:bCs w:val="1"/>
                <w:color w:val="auto"/>
                <w:w w:val="96"/>
              </w:rPr>
              <w:t>Level 3</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2023</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line="216" w:lineRule="exact"/>
              <w:rPr>
                <w:sz w:val="20"/>
                <w:szCs w:val="20"/>
                <w:color w:val="auto"/>
              </w:rPr>
            </w:pPr>
            <w:r>
              <w:rPr>
                <w:rFonts w:ascii="Arial" w:cs="Arial" w:eastAsia="Arial" w:hAnsi="Arial"/>
                <w:sz w:val="17"/>
                <w:szCs w:val="17"/>
                <w:color w:val="auto"/>
              </w:rPr>
              <w:t xml:space="preserve">2,007 </w:t>
            </w:r>
            <w:r>
              <w:rPr>
                <w:rFonts w:ascii="Arial" w:cs="Arial" w:eastAsia="Arial" w:hAnsi="Arial"/>
                <w:sz w:val="25"/>
                <w:szCs w:val="25"/>
                <w:color w:val="auto"/>
                <w:vertAlign w:val="sub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307</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10,392</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23,467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40" w:type="dxa"/>
            <w:vAlign w:val="bottom"/>
          </w:tcPr>
          <w:p>
            <w:pPr>
              <w:jc w:val="center"/>
              <w:ind w:right="61"/>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ind w:right="16"/>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12,399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23,774</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Processa common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3"/>
                <w:szCs w:val="13"/>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61"/>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80" w:right="79" w:hanging="330"/>
        <w:spacing w:after="0" w:line="271"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held approximately $2,007 in cash as of September 30, 2023, of which approximately $488 was in Canadian funds (translated into U.S. dollars). As of December 31, 2022, the Company held approximately $307 in cash of which approximately $33 was in Canadian funds (translated into U.S. dollars).</w:t>
      </w:r>
    </w:p>
    <w:p>
      <w:pPr>
        <w:ind w:left="380" w:right="79" w:hanging="330"/>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holds 51 unrestricted common shares of Processa Pharmaceuticals, Inc. (NASDAQ:PCSA), which it received as part of a royalty arrangement in 2020.</w:t>
      </w:r>
    </w:p>
    <w:p>
      <w:pPr>
        <w:spacing w:after="0" w:line="181"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Oregon Health &amp; Science University Agreement</w:t>
      </w:r>
    </w:p>
    <w:p>
      <w:pPr>
        <w:spacing w:after="0" w:line="14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6"/>
          <w:szCs w:val="16"/>
          <w:color w:val="auto"/>
        </w:rPr>
        <w:t>On February 20, 2013, we entered into an exclusive license agreement with Oregon Health &amp; Science University (“OHSU”) for exclusive worldwide license rights to intellectual property directed to thiol-based compounds, including PEDMARK</w:t>
      </w:r>
      <w:r>
        <w:rPr>
          <w:rFonts w:ascii="Arial" w:cs="Arial" w:eastAsia="Arial" w:hAnsi="Arial"/>
          <w:sz w:val="23"/>
          <w:szCs w:val="23"/>
          <w:color w:val="auto"/>
          <w:vertAlign w:val="superscript"/>
        </w:rPr>
        <w:t>®</w:t>
      </w:r>
      <w:r>
        <w:rPr>
          <w:rFonts w:ascii="Arial" w:cs="Arial" w:eastAsia="Arial" w:hAnsi="Arial"/>
          <w:sz w:val="16"/>
          <w:szCs w:val="16"/>
          <w:color w:val="auto"/>
        </w:rPr>
        <w:t>, and their use in oncology (the “OHSU Agreement”). OHSU will receive certain milestone payments, royalty on net sales for licensed products and a royalty on any consideration received from sublicensing of the licensed technology.</w:t>
      </w:r>
    </w:p>
    <w:p>
      <w:pPr>
        <w:spacing w:after="0" w:line="11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18, 2015, we negotiated an amendment (“Amendment 1”) to the OHSU Agreement, which expands Fennec’s exclusive license to include the use of N-acetylcysteine as a standalone therapy and/or in combination with sodium thiosulfate for the prevention of ototoxicity induced by chemotherapeutic agents to treat cancers. Further, Amendment 1 adjusts select milestone payments in the OHSU Agreement including but not limited to the royalty rate on net sales for licensed products, royalty rate from sublicensing of the licensed technology and the fee payable upon the regulatory approval of a licensed product.</w:t>
      </w:r>
    </w:p>
    <w:p>
      <w:pPr>
        <w:spacing w:after="0" w:line="12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term of the OHSU Agreement as amended by Amendment 1 expires on the date of the last to expire claim(s) covered in the patents licensed to Fennec or 8 years, whichever is later. In the event a licensed product obtains regulatory approval and is covered by the Orphan Drug Designation, the parties will in good faith amend the term of the agreement.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currently protected by methods of use patent that the Company exclusively licensed from OHSU that expire in the United States in 2038. The OHSU Agreement is terminable by either Fennec or OHSU in the event of a material breach of the agreement by either party after 45 days prior written notice. Fennec also has the right to terminate the OHSU Agreement at any time upon 60 days prior written notice and payment of all fees due to OHSU under the OHSU Agreement.</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Class Action Suit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Chapman v. Fennec Pharmaceuticals Inc., et al.</w:t>
      </w:r>
    </w:p>
    <w:p>
      <w:pPr>
        <w:spacing w:after="0" w:line="15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September 3, 2020, plaintiff Jim Chapman filed a putative federal securities class action lawsuit against the Company, our Chief Executive Officer, Rostislav Raykov, and Chief Financial Officer, Robert Andrade, in the United States District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6"/>
          <w:szCs w:val="16"/>
          <w:color w:val="auto"/>
        </w:rPr>
        <w:t xml:space="preserve">Court for the Middle District of North Carolina, captioned </w:t>
      </w:r>
      <w:r>
        <w:rPr>
          <w:rFonts w:ascii="Arial" w:cs="Arial" w:eastAsia="Arial" w:hAnsi="Arial"/>
          <w:sz w:val="16"/>
          <w:szCs w:val="16"/>
          <w:i w:val="1"/>
          <w:iCs w:val="1"/>
          <w:color w:val="auto"/>
        </w:rPr>
        <w:t>Chapman v. Fennec Pharmaceuticals Inc., et al</w:t>
      </w:r>
      <w:r>
        <w:rPr>
          <w:rFonts w:ascii="Arial" w:cs="Arial" w:eastAsia="Arial" w:hAnsi="Arial"/>
          <w:sz w:val="16"/>
          <w:szCs w:val="16"/>
          <w:color w:val="auto"/>
        </w:rPr>
        <w:t>., Case No. 1:20-cv-00812. The complaint alleged that prior to our August 10, 2020 receipt of a CRL from the FDA concerning our NDA for PEDMARK</w:t>
      </w:r>
      <w:r>
        <w:rPr>
          <w:rFonts w:ascii="Arial" w:cs="Arial" w:eastAsia="Arial" w:hAnsi="Arial"/>
          <w:sz w:val="23"/>
          <w:szCs w:val="23"/>
          <w:color w:val="auto"/>
          <w:vertAlign w:val="superscript"/>
        </w:rPr>
        <w:t>®</w:t>
      </w:r>
      <w:r>
        <w:rPr>
          <w:rFonts w:ascii="Arial" w:cs="Arial" w:eastAsia="Arial" w:hAnsi="Arial"/>
          <w:sz w:val="16"/>
          <w:szCs w:val="16"/>
          <w:color w:val="auto"/>
        </w:rPr>
        <w:t>, defendants made materially false or misleading statements and failed to disclose material facts about our third-party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manufacturing facility and the impact the facility would have on regulatory approval for PEDMARK</w:t>
      </w:r>
      <w:r>
        <w:rPr>
          <w:rFonts w:ascii="Arial" w:cs="Arial" w:eastAsia="Arial" w:hAnsi="Arial"/>
          <w:sz w:val="23"/>
          <w:szCs w:val="23"/>
          <w:color w:val="auto"/>
          <w:vertAlign w:val="superscript"/>
        </w:rPr>
        <w:t>®</w:t>
      </w:r>
      <w:r>
        <w:rPr>
          <w:rFonts w:ascii="Arial" w:cs="Arial" w:eastAsia="Arial" w:hAnsi="Arial"/>
          <w:sz w:val="16"/>
          <w:szCs w:val="16"/>
          <w:color w:val="auto"/>
        </w:rPr>
        <w:t>. On December 3, 2020, the court appointed a lead plaintiff to represent the putative class. On February 1, 2021, the lead plaintiff filed an amended complaint. The amended complaint added members of our Board of Directors as defendants, asserted a putative class period from December 20, 2018 through August 10, 2020, made allegations similar to those in the original complaint, claimed that defendants violated Sections 10(b) and 20(a) of the Securities Exchange Act of 1934 and SEC Rule 10b-5, and sought an unspecified amount of compensatory damages and attorneys’ fees and costs.</w:t>
      </w:r>
    </w:p>
    <w:p>
      <w:pPr>
        <w:spacing w:after="0" w:line="19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March 3, 2021, defendants filed a motion to dismiss the amended complaint. On April 2, 2021, lead plaintiff filed an opposition to the motion to dismiss. On April 16, 2021, defendants filed a reply in support of the motion to dismiss, and on December 16, 2021, the Magistrate Judge entered an order recommending that defendants’ motion to dismiss be granted in its entirety. On January 24, 2022, lead plaintiff filed objections to the Magistrate Judge’s recommendation, and defendants filed their response on February 3, 2022. On March 2, 2022, the U.S. District Court Judge adopted the Magistrate Judge’s order and recommendation and entered an order and judgment dismissing the amended complaint with prejudice.</w:t>
      </w:r>
    </w:p>
    <w:p>
      <w:pPr>
        <w:spacing w:after="0" w:line="164"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7"/>
          <w:szCs w:val="17"/>
          <w:color w:val="auto"/>
        </w:rPr>
        <w:t>On March 30, 2022, lead plaintiff filed a motion for post judgment relief, seeking leave to file a second amended complaint. In his proposed second amended complaint, lead plaintiff sought to add allegations stemming from the receipt of a second CRL following our resubmission of our NDA for PEDMARK</w:t>
      </w:r>
      <w:r>
        <w:rPr>
          <w:rFonts w:ascii="Arial" w:cs="Arial" w:eastAsia="Arial" w:hAnsi="Arial"/>
          <w:sz w:val="25"/>
          <w:szCs w:val="25"/>
          <w:color w:val="auto"/>
          <w:vertAlign w:val="superscript"/>
        </w:rPr>
        <w:t>®</w:t>
      </w:r>
      <w:r>
        <w:rPr>
          <w:rFonts w:ascii="Arial" w:cs="Arial" w:eastAsia="Arial" w:hAnsi="Arial"/>
          <w:sz w:val="17"/>
          <w:szCs w:val="17"/>
          <w:color w:val="auto"/>
        </w:rPr>
        <w:t>, which we received on November 29, 2021, among other things. Defendants filed an opposition to plaintiff’s motion for post judgment relief on April 20, 2022. On May 4, 2022, lead plaintiff submitted a reply in support of his motion. On September 27, 2022, defendants filed a request for judicial notice regarding the FDA’s press release announcing that it has approved PEDMARK</w:t>
      </w:r>
      <w:r>
        <w:rPr>
          <w:rFonts w:ascii="Arial" w:cs="Arial" w:eastAsia="Arial" w:hAnsi="Arial"/>
          <w:sz w:val="25"/>
          <w:szCs w:val="25"/>
          <w:color w:val="auto"/>
          <w:vertAlign w:val="superscript"/>
        </w:rPr>
        <w:t>®</w:t>
      </w:r>
      <w:r>
        <w:rPr>
          <w:rFonts w:ascii="Arial" w:cs="Arial" w:eastAsia="Arial" w:hAnsi="Arial"/>
          <w:sz w:val="17"/>
          <w:szCs w:val="17"/>
          <w:color w:val="auto"/>
        </w:rPr>
        <w:t>. On October 18, 2022, lead plaintiff filed his opposition to request for judicial notice. On October 21, 2022, defendants filed a reply in support of the request for judicial notice. On February 15, 2023, the Magistrate Judge recommended the motion for post judgment relief be denied. Lead plaintiff filed no timely objection to the recommendation, and on March 2, 2023, the U.S. District Court Judge issued an order adopting the Magistrate Judge’s recommendation, denying the motion for post judgment relief, and entering judgment for defendants. Lead plaintiff had until April 3, 2023 to file a notice of appeal and did not file a notice of appeal. The case is now closed.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Fisher v. Fennec Pharmaceuticals Inc. et al.</w:t>
      </w:r>
    </w:p>
    <w:p>
      <w:pPr>
        <w:spacing w:after="0" w:line="158"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6"/>
          <w:szCs w:val="16"/>
          <w:color w:val="auto"/>
        </w:rPr>
        <w:t xml:space="preserve">On February 9, 2022, plaintiff Jeffrey D. Fisher filed a putative federal securities class action lawsuit against the Company and our CEO and CFO in the United States District Court for the Middle District of North Carolina, captioned </w:t>
      </w:r>
      <w:r>
        <w:rPr>
          <w:rFonts w:ascii="Arial" w:cs="Arial" w:eastAsia="Arial" w:hAnsi="Arial"/>
          <w:sz w:val="16"/>
          <w:szCs w:val="16"/>
          <w:i w:val="1"/>
          <w:iCs w:val="1"/>
          <w:color w:val="auto"/>
        </w:rPr>
        <w:t>Fisher v.</w:t>
      </w:r>
      <w:r>
        <w:rPr>
          <w:rFonts w:ascii="Arial" w:cs="Arial" w:eastAsia="Arial" w:hAnsi="Arial"/>
          <w:sz w:val="16"/>
          <w:szCs w:val="16"/>
          <w:color w:val="auto"/>
        </w:rPr>
        <w:t xml:space="preserve"> </w:t>
      </w:r>
      <w:r>
        <w:rPr>
          <w:rFonts w:ascii="Arial" w:cs="Arial" w:eastAsia="Arial" w:hAnsi="Arial"/>
          <w:sz w:val="16"/>
          <w:szCs w:val="16"/>
          <w:i w:val="1"/>
          <w:iCs w:val="1"/>
          <w:color w:val="auto"/>
        </w:rPr>
        <w:t>Fennec Pharmaceuticals Inc., et al.</w:t>
      </w:r>
      <w:r>
        <w:rPr>
          <w:rFonts w:ascii="Arial" w:cs="Arial" w:eastAsia="Arial" w:hAnsi="Arial"/>
          <w:sz w:val="16"/>
          <w:szCs w:val="16"/>
          <w:color w:val="auto"/>
        </w:rPr>
        <w:t>, Case No. 1:22-cv-00115. The complaint asserted a putative class period from May 28,</w:t>
      </w:r>
      <w:r>
        <w:rPr>
          <w:rFonts w:ascii="Arial" w:cs="Arial" w:eastAsia="Arial" w:hAnsi="Arial"/>
          <w:sz w:val="16"/>
          <w:szCs w:val="16"/>
          <w:i w:val="1"/>
          <w:iCs w:val="1"/>
          <w:color w:val="auto"/>
        </w:rPr>
        <w:t xml:space="preserve"> </w:t>
      </w:r>
      <w:r>
        <w:rPr>
          <w:rFonts w:ascii="Arial" w:cs="Arial" w:eastAsia="Arial" w:hAnsi="Arial"/>
          <w:sz w:val="16"/>
          <w:szCs w:val="16"/>
          <w:color w:val="auto"/>
        </w:rPr>
        <w:t>2021 through November 28, 2021, and alleged that defendants violated Sections 10(b) and 20(a) of the Securities Exchange Act of 1934 and SEC Rule 10b-5 by making materially false and misleading statements or omissions regarding the status of our third-party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manufacturing facility, the facility’s compliance with cGMP, and the impact its status and compliance would have on regulatory approval for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period leading up to the Company’s November 29, 2021 receipt of a CRL for a subsequent NDA for PEDMARK</w:t>
      </w:r>
      <w:r>
        <w:rPr>
          <w:rFonts w:ascii="Arial" w:cs="Arial" w:eastAsia="Arial" w:hAnsi="Arial"/>
          <w:sz w:val="23"/>
          <w:szCs w:val="23"/>
          <w:color w:val="auto"/>
          <w:vertAlign w:val="superscript"/>
        </w:rPr>
        <w:t>®</w:t>
      </w:r>
      <w:r>
        <w:rPr>
          <w:rFonts w:ascii="Arial" w:cs="Arial" w:eastAsia="Arial" w:hAnsi="Arial"/>
          <w:sz w:val="16"/>
          <w:szCs w:val="16"/>
          <w:color w:val="auto"/>
        </w:rPr>
        <w:t>. The complaint sought an unspecified amount of damages and attorneys’ fees and costs. On April 11, 2022, plaintiff Jeffrey D. Fisher filed a motion to be appointed lead plaintiff and represent the putative class and on May 9, 2022, the court appointed him as lead plaintiff.</w:t>
      </w:r>
    </w:p>
    <w:p>
      <w:pPr>
        <w:spacing w:after="0" w:line="19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June 23, 2022, lead plaintiff filed an amended complaint. The amended complaint asserted the same putative class period from May 28, 2021 through November 28, 2021, was brought against the same defendants and made allegations similar to those in the original complaint. On August 5, 2022, defendants filed a motion to dismiss the amended complaint. On August 26, 2022, lead plaintiff filed an opposition to the motion to dismiss. On September 9, 2022, defendants filed a reply in support of the motion to dismiss.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On September 27, 2022, defendants filed a request for judicial notice regarding the FDA’s press release announcing that it approved PEDMARK</w:t>
      </w:r>
      <w:r>
        <w:rPr>
          <w:rFonts w:ascii="Arial" w:cs="Arial" w:eastAsia="Arial" w:hAnsi="Arial"/>
          <w:sz w:val="25"/>
          <w:szCs w:val="25"/>
          <w:color w:val="auto"/>
          <w:vertAlign w:val="superscript"/>
        </w:rPr>
        <w:t>®</w:t>
      </w:r>
      <w:r>
        <w:rPr>
          <w:rFonts w:ascii="Arial" w:cs="Arial" w:eastAsia="Arial" w:hAnsi="Arial"/>
          <w:sz w:val="17"/>
          <w:szCs w:val="17"/>
          <w:color w:val="auto"/>
        </w:rPr>
        <w:t>. On September 30, 2022, lead plaintiff filed an opposition to the request for judicial notice. On October 6, 2022, defendants filed a reply in support of the request for judicial notice. On October 12, 2022, the U.S. District Court Judge issued a memorandum opinion and order dismissing the amended complaint in its entirety and with prejudice, and on October 14, 2022, entered judgment. Lead plaintiff had until November 14, 2022 to file a notice of appeal and did not file a notice of appeal. The case is now closed.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Hope Medical Enterprises, Inc. Inter Partes Review Challenges</w:t>
      </w:r>
    </w:p>
    <w:p>
      <w:pPr>
        <w:spacing w:after="0" w:line="225"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7"/>
          <w:szCs w:val="17"/>
          <w:color w:val="auto"/>
        </w:rPr>
        <w:t>On October 29, 2021, Hope Medical Enterprises, Inc. (“Hope”) filed a Petition for inter partes review (IPR2022-00123) with the Patent Trial and Appeal Board (“PTAB”) of the USPTO to invalidate U.S. Patent No. 10,596,190 (the “‘190 Patent”), which is exclusively in-licensed from Oregon Health &amp; Science University (“OHSU”) and relates to a method of using PEDMARK</w:t>
      </w:r>
      <w:r>
        <w:rPr>
          <w:rFonts w:ascii="Arial" w:cs="Arial" w:eastAsia="Arial" w:hAnsi="Arial"/>
          <w:sz w:val="25"/>
          <w:szCs w:val="25"/>
          <w:color w:val="auto"/>
          <w:vertAlign w:val="superscript"/>
        </w:rPr>
        <w:t>®</w:t>
      </w:r>
      <w:r>
        <w:rPr>
          <w:rFonts w:ascii="Arial" w:cs="Arial" w:eastAsia="Arial" w:hAnsi="Arial"/>
          <w:sz w:val="17"/>
          <w:szCs w:val="17"/>
          <w:color w:val="auto"/>
        </w:rPr>
        <w:t>. The ‘190 Patent was issued on March 24, 2020. On December 5, 2022, a Fennec filed a Motion to Amend the single claim of the ‘190 Patent focing on the treatment of medulloblastoma. On April 18, 2023, the PTAB invalidated the only claim of the‘190 Patent. The final written decision became effective June 20, 2023. The ‘190 Patent was previously listed in the United States Approved Drug Products with Therapeutic Equivalence Evaluations (also known as the “Orange Book”). In light of PTAB’s final written decision on the invalidity of the ‘190 Patent, we requested that the FDA remove the ’190 Patent from the Orange Book. Two United States patent applications claiming priority through the ‘190 Patent remain pending at the United States Patent and Trademark Office (“USPTO”).</w:t>
      </w:r>
    </w:p>
    <w:p>
      <w:pPr>
        <w:spacing w:after="0" w:line="19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6"/>
          <w:szCs w:val="16"/>
          <w:color w:val="auto"/>
        </w:rPr>
        <w:t>On October 29, 2021, Hope Medical Enterprises, Inc. (“Hope”) filed a Petition for inter partes review (IPR2022-00125) to invalidate our wholly owned U.S. Patent No. 10,792,363 (the “’363 Patent”), which relates to an anhydrous form of STS and its method of manufacture, which is the active pharmaceutical ingredient in the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The ‘363 Patent was issued October 6, 2020. In May 2022, the PTAB granted Hope’s Petition to Institute the IPR against the ‘363 patent. During the ‘363 IPR, we disclaimed the patent claims directed to the anhydrous morphic form of STS and continued with claims directed to its method of manufacture. Because the remaining claims in the ‘363 patent are directed to a method of manufacture, the ‘363 patent is not eligible for listing in the Orange Book. In September 2023, the PTAB issued a Final Written Decision in favor of Fennec and upholding the amended claim. Hope has until November 3, 2023 to request that PTAB reconsider the Final Written Decision, or alternatively, file an appeal of the Final Written Decision with the Court of Appeals for the Federal Circuit. If no further actions are taken, the ‘363 Patent as amended will remain in force.</w:t>
      </w:r>
    </w:p>
    <w:p>
      <w:pPr>
        <w:spacing w:after="0" w:line="166" w:lineRule="exact"/>
        <w:rPr>
          <w:sz w:val="20"/>
          <w:szCs w:val="20"/>
          <w:color w:val="auto"/>
        </w:rPr>
      </w:pPr>
    </w:p>
    <w:p>
      <w:pPr>
        <w:jc w:val="both"/>
        <w:ind w:left="60" w:right="59"/>
        <w:spacing w:after="0" w:line="202" w:lineRule="auto"/>
        <w:rPr>
          <w:sz w:val="20"/>
          <w:szCs w:val="20"/>
          <w:color w:val="auto"/>
        </w:rPr>
      </w:pPr>
      <w:r>
        <w:rPr>
          <w:rFonts w:ascii="Arial" w:cs="Arial" w:eastAsia="Arial" w:hAnsi="Arial"/>
          <w:sz w:val="18"/>
          <w:szCs w:val="18"/>
          <w:color w:val="auto"/>
        </w:rPr>
        <w:t>The USPTO has now granted three additional U.S. patents that cover the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formulation, each of which have been listed in the U.S. FDA’s “Orange Book” (U.S. Patent No. 11,291,728 (issued April 5, 2022), U.S. Patent No. 11,510,984 (issued November 29, 2022), and U.S. Patent No. 11,617,794 (issued April 4, 2023)), and additional United States patent applications from this family remain pending at the USPTO. We plan to vigorously defend our intellectual property rights to PEDMARK</w:t>
      </w:r>
      <w:r>
        <w:rPr>
          <w:rFonts w:ascii="Arial" w:cs="Arial" w:eastAsia="Arial" w:hAnsi="Arial"/>
          <w:sz w:val="26"/>
          <w:szCs w:val="26"/>
          <w:color w:val="auto"/>
          <w:vertAlign w:val="superscript"/>
        </w:rPr>
        <w:t>®</w:t>
      </w:r>
      <w:r>
        <w:rPr>
          <w:rFonts w:ascii="Arial" w:cs="Arial" w:eastAsia="Arial" w:hAnsi="Arial"/>
          <w:sz w:val="18"/>
          <w:szCs w:val="18"/>
          <w:color w:val="auto"/>
        </w:rPr>
        <w:t>. An invalidation of our patents covering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could have a material adverse effect on our ability to protect our rights in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beyond periods of marketing exclusivity for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United States under Orphan Drug Designation.</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CIPLA ANDA Litigation</w:t>
      </w:r>
    </w:p>
    <w:p>
      <w:pPr>
        <w:spacing w:after="0" w:line="225" w:lineRule="exact"/>
        <w:rPr>
          <w:sz w:val="20"/>
          <w:szCs w:val="20"/>
          <w:color w:val="auto"/>
        </w:rPr>
      </w:pPr>
    </w:p>
    <w:p>
      <w:pPr>
        <w:jc w:val="both"/>
        <w:ind w:left="60" w:right="59"/>
        <w:spacing w:after="0" w:line="230" w:lineRule="auto"/>
        <w:rPr>
          <w:sz w:val="20"/>
          <w:szCs w:val="20"/>
          <w:color w:val="auto"/>
        </w:rPr>
      </w:pPr>
      <w:r>
        <w:rPr>
          <w:rFonts w:ascii="Arial" w:cs="Arial" w:eastAsia="Arial" w:hAnsi="Arial"/>
          <w:sz w:val="17"/>
          <w:szCs w:val="17"/>
          <w:color w:val="auto"/>
        </w:rPr>
        <w:t>On December 1, 2022, we received a letter dated November 30, 2022, notifying us that CIPLA Ltd. and CIPLA USA (“CIPLA”) submitted to the FDA an ANDA (ANDA No. 218028) for a generic version of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(sodium thiosulfate solution) that contains Paragraph IV Certifications on two of our patents covering PEDMARK</w:t>
      </w:r>
      <w:r>
        <w:rPr>
          <w:rFonts w:ascii="Arial" w:cs="Arial" w:eastAsia="Arial" w:hAnsi="Arial"/>
          <w:sz w:val="25"/>
          <w:szCs w:val="25"/>
          <w:color w:val="auto"/>
          <w:vertAlign w:val="superscript"/>
        </w:rPr>
        <w:t>®</w:t>
      </w:r>
      <w:r>
        <w:rPr>
          <w:rFonts w:ascii="Arial" w:cs="Arial" w:eastAsia="Arial" w:hAnsi="Arial"/>
          <w:sz w:val="17"/>
          <w:szCs w:val="17"/>
          <w:color w:val="auto"/>
        </w:rPr>
        <w:t>: the OHSU licensed ‘190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w:t>
      </w:r>
      <w:r>
        <w:rPr>
          <w:rFonts w:ascii="Arial" w:cs="Arial" w:eastAsia="Arial" w:hAnsi="Arial"/>
          <w:sz w:val="25"/>
          <w:szCs w:val="25"/>
          <w:color w:val="auto"/>
          <w:vertAlign w:val="superscript"/>
        </w:rPr>
        <w:t>®</w:t>
      </w:r>
      <w:r>
        <w:rPr>
          <w:rFonts w:ascii="Arial" w:cs="Arial" w:eastAsia="Arial" w:hAnsi="Arial"/>
          <w:sz w:val="17"/>
          <w:szCs w:val="17"/>
          <w:color w:val="auto"/>
        </w:rPr>
        <w:t>. The certifications allege these patents are invalid or will not be infringed by the manufacture, use, or sale of CIPLA’s sodium thiosulfate solution.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224" w:lineRule="auto"/>
        <w:rPr>
          <w:sz w:val="20"/>
          <w:szCs w:val="20"/>
          <w:color w:val="auto"/>
        </w:rPr>
      </w:pPr>
      <w:r>
        <w:rPr>
          <w:rFonts w:ascii="Arial" w:cs="Arial" w:eastAsia="Arial" w:hAnsi="Arial"/>
          <w:sz w:val="18"/>
          <w:szCs w:val="18"/>
          <w:color w:val="auto"/>
        </w:rPr>
        <w:t>Under the Food and Drug Cosmetic Act, as amended by the Drug Price Competition and Patent Term Restoration Act of 1984, as amended, after receipt of a valid Paragraph IV notice, the Company may bring a patent infringement suit in a federal district court against CIPLA within 45 days from the receipt of the Notice Letter and if such a suit is commenced within the 45-day period, the Company is entitled to a 30 month stay on the FDA’s ability to give final approval to any proposed products that reference PEDMARK</w:t>
      </w:r>
      <w:r>
        <w:rPr>
          <w:rFonts w:ascii="Arial" w:cs="Arial" w:eastAsia="Arial" w:hAnsi="Arial"/>
          <w:sz w:val="26"/>
          <w:szCs w:val="26"/>
          <w:color w:val="auto"/>
          <w:vertAlign w:val="superscript"/>
        </w:rPr>
        <w:t>®</w:t>
      </w:r>
      <w:r>
        <w:rPr>
          <w:rFonts w:ascii="Arial" w:cs="Arial" w:eastAsia="Arial" w:hAnsi="Arial"/>
          <w:sz w:val="18"/>
          <w:szCs w:val="18"/>
          <w:color w:val="auto"/>
        </w:rPr>
        <w:t>. In addition to the 30-month stay, because we have received Orphan Drug Exclusivity, the FDA may not approve CIPLA’s ANDA for at least 7 years from PEDMARK</w:t>
      </w:r>
      <w:r>
        <w:rPr>
          <w:rFonts w:ascii="Arial" w:cs="Arial" w:eastAsia="Arial" w:hAnsi="Arial"/>
          <w:sz w:val="26"/>
          <w:szCs w:val="26"/>
          <w:color w:val="auto"/>
          <w:vertAlign w:val="superscript"/>
        </w:rPr>
        <w:t>®</w:t>
      </w:r>
      <w:r>
        <w:rPr>
          <w:rFonts w:ascii="Arial" w:cs="Arial" w:eastAsia="Arial" w:hAnsi="Arial"/>
          <w:sz w:val="18"/>
          <w:szCs w:val="18"/>
          <w:color w:val="auto"/>
        </w:rPr>
        <w:t>’s FDA approval date of September 20, 2022.</w:t>
      </w:r>
    </w:p>
    <w:p>
      <w:pPr>
        <w:spacing w:after="0" w:line="20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On January 10, 2023, we filed suit against the CIPLA entities in the United States District Court for the District of New Jersey (Case No. 2:23-cv-00123), for infringement of the ‘190 Patent, the ‘728 Patent, and the ‘984 Patent. On April 20, 2023, we filed an Amended Complaint to assert infringement of the ‘728 patent and the ‘984 Patent. On April 4, 2023, we were granted US 11,617,793 Patent (the “’793 Patent”) covering the formulation of the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 which was listed in the Orange Book on or around April 17, 2023, and has an expiration date of July 2039. On May 11, 2023, we received written notice of CIPLA’s Paragraph IV Certification as to the ’793 Patent, which was dated May 10, 2023, along with an enclosed statement of alleged factual and legal bases for stating that the ’793 Patent is invalid, unenforceable, and/or will not be infringed by CIPLA’s ANDA Product. On July 27, 2023, we filed a Second Amended Complaint to assert the ‘793 Patent. The suit is ongoing.</w:t>
      </w:r>
    </w:p>
    <w:p>
      <w:pPr>
        <w:spacing w:after="0" w:line="183" w:lineRule="exact"/>
        <w:rPr>
          <w:sz w:val="20"/>
          <w:szCs w:val="20"/>
          <w:color w:val="auto"/>
        </w:rPr>
      </w:pPr>
    </w:p>
    <w:p>
      <w:pPr>
        <w:jc w:val="both"/>
        <w:ind w:left="60" w:right="59"/>
        <w:spacing w:after="0" w:line="216" w:lineRule="auto"/>
        <w:rPr>
          <w:sz w:val="20"/>
          <w:szCs w:val="20"/>
          <w:color w:val="auto"/>
        </w:rPr>
      </w:pPr>
      <w:r>
        <w:rPr>
          <w:rFonts w:ascii="Arial" w:cs="Arial" w:eastAsia="Arial" w:hAnsi="Arial"/>
          <w:sz w:val="18"/>
          <w:szCs w:val="18"/>
          <w:color w:val="auto"/>
        </w:rPr>
        <w:t>PEDMARQSI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(EU Brand name for PEDMARK</w:t>
      </w:r>
      <w:r>
        <w:rPr>
          <w:rFonts w:ascii="Arial" w:cs="Arial" w:eastAsia="Arial" w:hAnsi="Arial"/>
          <w:sz w:val="26"/>
          <w:szCs w:val="26"/>
          <w:color w:val="auto"/>
          <w:vertAlign w:val="superscript"/>
        </w:rPr>
        <w:t>®</w:t>
      </w:r>
      <w:r>
        <w:rPr>
          <w:rFonts w:ascii="Arial" w:cs="Arial" w:eastAsia="Arial" w:hAnsi="Arial"/>
          <w:sz w:val="18"/>
          <w:szCs w:val="18"/>
          <w:color w:val="auto"/>
        </w:rPr>
        <w:t>) received European Commission approval in June 2023 and was granted 10 years of market exclusivity in Europe under Pediatric Use (“PUMA”).</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Severance</w:t>
      </w:r>
    </w:p>
    <w:p>
      <w:pPr>
        <w:spacing w:after="0" w:line="16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event of Mr. Raykov's termination with the Company other than for cause, the Company will be obligated to pay him a one-time severance payment equal to twelve months of salary (currently $585). In the event of Mr. Andrade’s termination with the Company other than for cause, the Company will be obligated to pay him a one-time severance payment equal to six months of salary (currently $212).</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January 23, 2020, the Company entered into an Office Service Agreement (the “Office Service Agreement”) with Regus to lease office space at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The Second Office Service Agreement commenced on August 1, 2023 and terminates on January 31, 2025, thereafter the lease may continue on a month-to-month basis with either party being able to terminate the agreement by providing one months’ advance written notice of termination.</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Second Office Service Agreement does not provide an implicit rate, and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150 basis points for operating leases that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ind w:left="60" w:right="80"/>
        <w:spacing w:after="0" w:line="263" w:lineRule="auto"/>
        <w:rPr>
          <w:sz w:val="20"/>
          <w:szCs w:val="20"/>
          <w:color w:val="auto"/>
        </w:rPr>
      </w:pPr>
      <w:r>
        <w:rPr>
          <w:rFonts w:ascii="Arial" w:cs="Arial" w:eastAsia="Arial" w:hAnsi="Arial"/>
          <w:sz w:val="18"/>
          <w:szCs w:val="18"/>
          <w:color w:val="auto"/>
        </w:rPr>
        <w:t>commenced after August 2023. The depreciable lives of operating leases and leasehold improvements are limited by the expected lease term.</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September 30, 2023</w:t>
            </w:r>
          </w:p>
        </w:tc>
      </w:tr>
      <w:tr>
        <w:trPr>
          <w:trHeight w:val="223"/>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lease terms (in months)</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9"/>
                <w:szCs w:val="19"/>
                <w:color w:val="auto"/>
              </w:rPr>
              <w:t>%</w:t>
            </w:r>
          </w:p>
        </w:tc>
      </w:tr>
      <w:tr>
        <w:trPr>
          <w:trHeight w:val="230"/>
        </w:trPr>
        <w:tc>
          <w:tcPr>
            <w:tcW w:w="6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w w:val="95"/>
              </w:rPr>
              <w:t>Maturities of lease liabilities as of September 30, 2023 were as follows (in thousands):</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6540" w:type="dxa"/>
            <w:vAlign w:val="bottom"/>
          </w:tcPr>
          <w:p>
            <w:pPr>
              <w:ind w:left="220"/>
              <w:spacing w:after="0"/>
              <w:rPr>
                <w:sz w:val="20"/>
                <w:szCs w:val="20"/>
                <w:color w:val="auto"/>
              </w:rPr>
            </w:pPr>
            <w:r>
              <w:rPr>
                <w:rFonts w:ascii="Arial" w:cs="Arial" w:eastAsia="Arial" w:hAnsi="Arial"/>
                <w:sz w:val="18"/>
                <w:szCs w:val="18"/>
                <w:color w:val="auto"/>
              </w:rPr>
              <w:t>2023 (remaining three months)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r>
      <w:tr>
        <w:trPr>
          <w:trHeight w:val="229"/>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9"/>
                <w:szCs w:val="19"/>
                <w:color w:val="auto"/>
              </w:rPr>
            </w:pPr>
          </w:p>
        </w:tc>
      </w:tr>
      <w:tr>
        <w:trPr>
          <w:trHeight w:val="210"/>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tcPr>
          <w:p>
            <w:pPr>
              <w:spacing w:after="0"/>
              <w:rPr>
                <w:sz w:val="19"/>
                <w:szCs w:val="19"/>
                <w:color w:val="auto"/>
              </w:rPr>
            </w:pPr>
          </w:p>
        </w:tc>
      </w:tr>
      <w:tr>
        <w:trPr>
          <w:trHeight w:val="210"/>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9"/>
                <w:szCs w:val="19"/>
                <w:color w:val="auto"/>
              </w:rPr>
            </w:pPr>
          </w:p>
        </w:tc>
      </w:tr>
      <w:tr>
        <w:trPr>
          <w:trHeight w:val="210"/>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Term Loans</w:t>
      </w:r>
    </w:p>
    <w:p>
      <w:pPr>
        <w:spacing w:after="0" w:line="229" w:lineRule="exact"/>
        <w:rPr>
          <w:sz w:val="20"/>
          <w:szCs w:val="20"/>
          <w:color w:val="auto"/>
        </w:rPr>
      </w:pPr>
    </w:p>
    <w:p>
      <w:pPr>
        <w:jc w:val="both"/>
        <w:ind w:left="60" w:right="80"/>
        <w:spacing w:after="0" w:line="255" w:lineRule="auto"/>
        <w:rPr>
          <w:sz w:val="20"/>
          <w:szCs w:val="20"/>
          <w:color w:val="auto"/>
        </w:rPr>
      </w:pPr>
      <w:r>
        <w:rPr>
          <w:rFonts w:ascii="Arial" w:cs="Arial" w:eastAsia="Arial" w:hAnsi="Arial"/>
          <w:sz w:val="18"/>
          <w:szCs w:val="18"/>
          <w:color w:val="auto"/>
        </w:rPr>
        <w:t>On August 1, 2022, the Company entered into the SPA with the Investor in connection with the issuance of up to $45,000 of Notes, issuable in multiple tranches. On August 19, 2022, the Company closed the initial tranche of $5,000, which has an initial conversion price equal to $8.11 per share, which was calculated based on a 20% premium of the 5-day VWAP immediately prior to the announcement of the SPA. In connection with the first closing, the Company repaid in full its secured indebtedness with Bridge Bank in the amount of $5,000. The Notes become due on the maturity date, which is August 19, 2027.</w:t>
      </w:r>
    </w:p>
    <w:p>
      <w:pPr>
        <w:spacing w:after="0" w:line="192" w:lineRule="exact"/>
        <w:rPr>
          <w:sz w:val="20"/>
          <w:szCs w:val="20"/>
          <w:color w:val="auto"/>
        </w:rPr>
      </w:pPr>
    </w:p>
    <w:p>
      <w:pPr>
        <w:jc w:val="both"/>
        <w:ind w:left="60" w:right="80"/>
        <w:spacing w:after="0" w:line="263" w:lineRule="auto"/>
        <w:rPr>
          <w:sz w:val="20"/>
          <w:szCs w:val="20"/>
          <w:color w:val="auto"/>
        </w:rPr>
      </w:pPr>
      <w:r>
        <w:rPr>
          <w:rFonts w:ascii="Arial" w:cs="Arial" w:eastAsia="Arial" w:hAnsi="Arial"/>
          <w:sz w:val="18"/>
          <w:szCs w:val="18"/>
          <w:color w:val="auto"/>
        </w:rPr>
        <w:t>On September 23, 2022, the Company closed the second tranche of the Note Financing in the amount of $20,000, which has an initial conversion price equal to $7.89 per share, which was calculated based on a 20% premium of the 5-day VWAP immediately prior to the Second Closing Trigger.</w:t>
      </w:r>
    </w:p>
    <w:p>
      <w:pPr>
        <w:spacing w:after="0" w:line="184" w:lineRule="exact"/>
        <w:rPr>
          <w:sz w:val="20"/>
          <w:szCs w:val="20"/>
          <w:color w:val="auto"/>
        </w:rPr>
      </w:pPr>
    </w:p>
    <w:p>
      <w:pPr>
        <w:jc w:val="both"/>
        <w:ind w:left="60" w:right="80"/>
        <w:spacing w:after="0" w:line="259" w:lineRule="auto"/>
        <w:rPr>
          <w:sz w:val="20"/>
          <w:szCs w:val="20"/>
          <w:color w:val="auto"/>
        </w:rPr>
      </w:pPr>
      <w:r>
        <w:rPr>
          <w:rFonts w:ascii="Arial" w:cs="Arial" w:eastAsia="Arial" w:hAnsi="Arial"/>
          <w:sz w:val="18"/>
          <w:szCs w:val="18"/>
          <w:color w:val="auto"/>
        </w:rPr>
        <w:t>Subsequent to the funding of the Second Closing Note, and before December 31, 2023, the Company may draw up to $20,000 of additional financing under the SPA, in one or more tranches of $10,000 upon mutual agreement of the Company and the Investor. The Subsequent Closing Notes will be convertible at a price per share equal to $7.89 per share, which price is calculated on the same basis as for the Second Closing Note.</w:t>
      </w:r>
    </w:p>
    <w:p>
      <w:pPr>
        <w:spacing w:after="0" w:line="187"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8"/>
          <w:szCs w:val="18"/>
          <w:color w:val="auto"/>
        </w:rPr>
        <w:t>A commitment fee of 2.0% of the Notes was payable under the SPA. Half of such fee was paid by the issuance on the first closing of warrants to purchase approximately 0.05 Fennec common shares and half was payable in cash or warrants of approximately 0.05 Fennec common shares, at our election, on the second closing. The Company chose to issue warrants to satisfy the payable on both the first and second closing. The warrants are exercisable at a price per share of $8.11 and both have a maturity date of August 19, 2027.</w:t>
      </w:r>
    </w:p>
    <w:p>
      <w:pPr>
        <w:spacing w:after="0" w:line="188" w:lineRule="exact"/>
        <w:rPr>
          <w:sz w:val="20"/>
          <w:szCs w:val="20"/>
          <w:color w:val="auto"/>
        </w:rPr>
      </w:pPr>
    </w:p>
    <w:p>
      <w:pPr>
        <w:jc w:val="both"/>
        <w:ind w:left="60" w:right="80"/>
        <w:spacing w:after="0" w:line="301" w:lineRule="auto"/>
        <w:rPr>
          <w:sz w:val="20"/>
          <w:szCs w:val="20"/>
          <w:color w:val="auto"/>
        </w:rPr>
      </w:pPr>
      <w:r>
        <w:rPr>
          <w:rFonts w:ascii="Arial" w:cs="Arial" w:eastAsia="Arial" w:hAnsi="Arial"/>
          <w:sz w:val="16"/>
          <w:szCs w:val="16"/>
          <w:color w:val="auto"/>
        </w:rPr>
        <w:t>Cash interest on outstanding principal shall accrue at a rate of prime, plus 4.5% per annum, from the date of funding (12.75% at September 30, 2023 and 12% as of December 31, 2022). Cash interest is due on the first business day of each calendar quarter (“Interest Date”). In addition to cash interest, payment-in-kind (“PIK”) interest will commence on funding date and accrue at a rate of 3.5% per annum. PIK interest will stop accruing on August 24, 2024. Any accrued PIK interest</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and shares in thousands, except per share information)</w:t>
      </w:r>
    </w:p>
    <w:p>
      <w:pPr>
        <w:spacing w:after="0" w:line="211"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shall remain outstanding and be payable on each Interest Date and be added to the outstanding principal amount. The Company has accrued $0.71 in PIK interest and has classified the PIK interest in long-term liabilities.</w:t>
      </w:r>
    </w:p>
    <w:p>
      <w:pPr>
        <w:spacing w:after="0" w:line="14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Notes are convertible into fully paid, non-assessable shares of the Company’s common shares at any point after their issuance dates and before the maturity date. Any amount of the Notes may be converted into the Company’s common shares so long as it does not create partial shares. The conversion rate is determined by dividing the conversion amount by the conversion price. Provisions of the SPA create legal, valid and enforceable liens on, and security interests in, all of the Company’s and each of its subsidiaries assets.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Aggregate annual payments due on the SPA as of September 30, 2023 are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560" w:type="dxa"/>
            <w:vAlign w:val="bottom"/>
          </w:tcPr>
          <w:p>
            <w:pPr>
              <w:spacing w:after="0"/>
              <w:rPr>
                <w:sz w:val="14"/>
                <w:szCs w:val="14"/>
                <w:color w:val="auto"/>
              </w:rPr>
            </w:pPr>
          </w:p>
        </w:tc>
        <w:tc>
          <w:tcPr>
            <w:tcW w:w="1820" w:type="dxa"/>
            <w:vAlign w:val="bottom"/>
          </w:tcPr>
          <w:p>
            <w:pPr>
              <w:jc w:val="right"/>
              <w:ind w:right="772"/>
              <w:spacing w:after="0"/>
              <w:rPr>
                <w:sz w:val="20"/>
                <w:szCs w:val="20"/>
                <w:color w:val="auto"/>
              </w:rPr>
            </w:pPr>
            <w:r>
              <w:rPr>
                <w:rFonts w:ascii="Arial" w:cs="Arial" w:eastAsia="Arial" w:hAnsi="Arial"/>
                <w:sz w:val="14"/>
                <w:szCs w:val="14"/>
                <w:b w:val="1"/>
                <w:bCs w:val="1"/>
                <w:color w:val="auto"/>
              </w:rPr>
              <w:t>Amount</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Payment in kind interest</w:t>
            </w: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r>
      <w:tr>
        <w:trPr>
          <w:trHeight w:val="209"/>
        </w:trPr>
        <w:tc>
          <w:tcPr>
            <w:tcW w:w="6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future payments</w:t>
            </w: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25,937</w:t>
            </w:r>
          </w:p>
        </w:tc>
      </w:tr>
      <w:tr>
        <w:trPr>
          <w:trHeight w:val="216"/>
        </w:trPr>
        <w:tc>
          <w:tcPr>
            <w:tcW w:w="6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unamortized debt discount</w:t>
            </w: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term loan, net of debt discount</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25,639</w:t>
            </w:r>
          </w:p>
        </w:tc>
      </w:tr>
      <w:tr>
        <w:trPr>
          <w:trHeight w:val="20"/>
        </w:trPr>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event of default or change of control, all unpaid principal and all accrued and unpaid interest amounts (if any) become immediately due and payable. Events of default include, but are not limited to, a payment default, a material adverse change, and insolvency. The SPA facility is secured by all of the Company’s assets, including all capital stock held by the Company.</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Debt issuance costs of $175 were paid in cash for legal fees and to the Investor in 2022 and warrants valued at $441 were granted to the Investor to secure access to the SPA. These amounts were capitalized and are being amortized over the access period of the SPA. Upon closing on the First Closing Note and the Second Closing Note, the Company recorded a debt discount of $314, which was based on a pro-rata allocation of the issue costs to secure the SPA, reducing the capitalized amount by the same amount. The debt discount is being amortized over the life of the SPA.</w:t>
      </w:r>
    </w:p>
    <w:p>
      <w:pPr>
        <w:spacing w:after="0" w:line="171" w:lineRule="exact"/>
        <w:rPr>
          <w:sz w:val="20"/>
          <w:szCs w:val="20"/>
          <w:color w:val="auto"/>
        </w:rPr>
      </w:pPr>
    </w:p>
    <w:p>
      <w:pPr>
        <w:ind w:left="360" w:hanging="310"/>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Management has evaluated subsequent events through the date of this filing and concluded there are no events of significance which require disclosure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Annual Report on Form 10-K for the fiscal year ended December 31, 2022, filed with the SEC on March 29, 2023 (the “Annual Report”) and our unaudited interim condensed consolidated financial statements and related notes appearing elsewhere in this Quarterly Report on Form 10-Q (the “Quarterly Report”). Some of the information contained in this discussion and analysis or set forth elsewhere in this Quarterly Report, including information with respect to the Company’s plans and strategy for its business, includes, and our officers and representatives may from time to time make, forward looking statements, within the meaning of the of the safe harbor provisions of the U.S.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“seeks,” “goals,” “projects,” “strategy,” “likely,”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discussion should be read in conjunction with our Annual Report and the condensed consolidated financial statements and accompanying notes included elsewhere 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jc w:val="both"/>
        <w:ind w:left="60" w:right="59"/>
        <w:spacing w:after="0" w:line="229" w:lineRule="auto"/>
        <w:rPr>
          <w:sz w:val="20"/>
          <w:szCs w:val="20"/>
          <w:color w:val="auto"/>
        </w:rPr>
      </w:pPr>
      <w:r>
        <w:rPr>
          <w:rFonts w:ascii="Arial" w:cs="Arial" w:eastAsia="Arial" w:hAnsi="Arial"/>
          <w:sz w:val="16"/>
          <w:szCs w:val="16"/>
          <w:color w:val="auto"/>
        </w:rPr>
        <w:t>We are a commercial-stage biopharmaceutical company focused on our only product PEDMARK</w:t>
      </w:r>
      <w:r>
        <w:rPr>
          <w:rFonts w:ascii="Arial" w:cs="Arial" w:eastAsia="Arial" w:hAnsi="Arial"/>
          <w:sz w:val="23"/>
          <w:szCs w:val="23"/>
          <w:color w:val="auto"/>
          <w:vertAlign w:val="superscript"/>
        </w:rPr>
        <w:t>®</w:t>
      </w:r>
      <w:r>
        <w:rPr>
          <w:rFonts w:ascii="Arial" w:cs="Arial" w:eastAsia="Arial" w:hAnsi="Arial"/>
          <w:sz w:val="16"/>
          <w:szCs w:val="16"/>
          <w:color w:val="auto"/>
        </w:rPr>
        <w:t>. On September 20, 2022, we received approval from the US Food and Drug Administration (“FDA”) for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(sodium thiosulfate injection) to reduce the risk of ototoxicity associated with cisplatin in pediatric patients one month of age and older with localized, non-metastatic solid tumors. This approval makes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the first and only treatment approved by the FDA in this area of unmet medical need. On October 17, 2022, we announced commercial availability of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in the U. S. In addition, in January 2023, PEDMARK was included in the National Comprehensive Cancer Network (NCCN) clinical practice guidelines for Adolescent and Young Adult (AYA) Oncology with a category 2A recommendation.</w:t>
      </w:r>
    </w:p>
    <w:p>
      <w:pPr>
        <w:spacing w:after="0" w:line="192" w:lineRule="exact"/>
        <w:rPr>
          <w:sz w:val="20"/>
          <w:szCs w:val="20"/>
          <w:color w:val="auto"/>
        </w:rPr>
      </w:pPr>
    </w:p>
    <w:p>
      <w:pPr>
        <w:jc w:val="both"/>
        <w:ind w:left="60" w:right="59"/>
        <w:spacing w:after="0" w:line="217" w:lineRule="auto"/>
        <w:rPr>
          <w:sz w:val="20"/>
          <w:szCs w:val="20"/>
          <w:color w:val="auto"/>
        </w:rPr>
      </w:pPr>
      <w:r>
        <w:rPr>
          <w:rFonts w:ascii="Arial" w:cs="Arial" w:eastAsia="Arial" w:hAnsi="Arial"/>
          <w:sz w:val="18"/>
          <w:szCs w:val="18"/>
          <w:color w:val="auto"/>
        </w:rPr>
        <w:t>In June 2023, we received European Commission Marketing Authorization for PEDMARQSI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(known as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U.S.) Further, the decision included the receipt of a Pediatric Use Marketing Authorization (“PUMA”) in the European Union (“EU”) with up to 10 years of data and market protection. The Company is currently preparing for an EU launch of PEDMARQSI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in 2024.</w:t>
      </w:r>
    </w:p>
    <w:p>
      <w:pPr>
        <w:spacing w:after="0" w:line="92" w:lineRule="exact"/>
        <w:rPr>
          <w:sz w:val="20"/>
          <w:szCs w:val="20"/>
          <w:color w:val="auto"/>
        </w:rPr>
      </w:pPr>
    </w:p>
    <w:p>
      <w:pPr>
        <w:jc w:val="both"/>
        <w:ind w:left="60" w:right="59"/>
        <w:spacing w:after="0" w:line="217" w:lineRule="auto"/>
        <w:rPr>
          <w:sz w:val="20"/>
          <w:szCs w:val="20"/>
          <w:color w:val="auto"/>
        </w:rPr>
      </w:pPr>
      <w:r>
        <w:rPr>
          <w:rFonts w:ascii="Arial" w:cs="Arial" w:eastAsia="Arial" w:hAnsi="Arial"/>
          <w:sz w:val="17"/>
          <w:szCs w:val="17"/>
          <w:color w:val="auto"/>
        </w:rPr>
        <w:t>In the U.S., we sell our product through an experienced field force including Regional Pediatric Oncology Specialists and medical science liaisons who are helping to educate the medical communities and patients about cisplatin induced ototoxicity and our programs supporting patient access to PEDMARK</w:t>
      </w:r>
      <w:r>
        <w:rPr>
          <w:rFonts w:ascii="Arial" w:cs="Arial" w:eastAsia="Arial" w:hAnsi="Arial"/>
          <w:sz w:val="25"/>
          <w:szCs w:val="25"/>
          <w:color w:val="auto"/>
          <w:vertAlign w:val="superscript"/>
        </w:rPr>
        <w:t>®</w:t>
      </w:r>
      <w:r>
        <w:rPr>
          <w:rFonts w:ascii="Arial" w:cs="Arial" w:eastAsia="Arial" w:hAnsi="Arial"/>
          <w:sz w:val="17"/>
          <w:szCs w:val="17"/>
          <w:color w:val="auto"/>
        </w:rPr>
        <w:t>. Now that we have obtained applicable regulatory approval to sell 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 the U. S. and authorization from the European Commission Marketing Authorization for PEDMARQSI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 the EU, we recognize there may still be a need to establish collaborations that provide us with up-front payments, licensing fees, milestone payments, royalties, or other revenue.</w:t>
      </w:r>
    </w:p>
    <w:p>
      <w:pPr>
        <w:spacing w:after="0" w:line="192" w:lineRule="exact"/>
        <w:rPr>
          <w:sz w:val="20"/>
          <w:szCs w:val="20"/>
          <w:color w:val="auto"/>
        </w:rPr>
      </w:pPr>
    </w:p>
    <w:p>
      <w:pPr>
        <w:jc w:val="both"/>
        <w:ind w:left="60" w:right="59"/>
        <w:spacing w:after="0" w:line="217" w:lineRule="auto"/>
        <w:rPr>
          <w:sz w:val="20"/>
          <w:szCs w:val="20"/>
          <w:color w:val="auto"/>
        </w:rPr>
      </w:pPr>
      <w:r>
        <w:rPr>
          <w:rFonts w:ascii="Arial" w:cs="Arial" w:eastAsia="Arial" w:hAnsi="Arial"/>
          <w:sz w:val="18"/>
          <w:szCs w:val="18"/>
          <w:color w:val="auto"/>
        </w:rPr>
        <w:t>Further, we have established Fennec HEARS™, a comprehensive single source program designed to connect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patients to both patient financial and product access support. The program offers assistance and resources, regardless of insurance type, that can address co-pays or lack of coverage when certain eligibility requirements are met. Fennec HEARS™ also provides access to care coordinators that can answer insurance questions about coverage for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provide tips and resources for managing treatment.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28" w:lineRule="auto"/>
        <w:rPr>
          <w:sz w:val="20"/>
          <w:szCs w:val="20"/>
          <w:color w:val="auto"/>
        </w:rPr>
      </w:pPr>
      <w:r>
        <w:rPr>
          <w:rFonts w:ascii="Arial" w:cs="Arial" w:eastAsia="Arial" w:hAnsi="Arial"/>
          <w:sz w:val="18"/>
          <w:szCs w:val="18"/>
          <w:color w:val="auto"/>
        </w:rPr>
        <w:t>We received Orphan Drug Exclusivity for PEMARK in January 2023, which provides seven years of market exclusivity from its FDA approval on September 20, 2022 until September 20, 2029. We currently have three patents listed for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FDA’s Orange Book. In September 2022, the USPTO issued Patent No. 11,291,728 (the “US ‘728 Patent”), in December 2022, the USPTO issued Patent No. 11,510,984 (“US ‘984 Patent”) and in April 2023, the USPTO issued Patent No. 11,671,793 (“US ‘793 Patent”) that covers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pharmaceutical formulation. The US ‘728 Patent, US ‘984 Patent and US ‘793 Patent will expire in 2039. We are also pursuing additional patent applications in both the U.S. and internationally for PEDMARK</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PEDMARK</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Product Overview</w:t>
      </w:r>
    </w:p>
    <w:p>
      <w:pPr>
        <w:spacing w:after="0" w:line="135" w:lineRule="exact"/>
        <w:rPr>
          <w:sz w:val="20"/>
          <w:szCs w:val="20"/>
          <w:color w:val="auto"/>
        </w:rPr>
      </w:pPr>
    </w:p>
    <w:p>
      <w:pPr>
        <w:jc w:val="both"/>
        <w:ind w:left="60" w:right="59"/>
        <w:spacing w:after="0" w:line="202" w:lineRule="auto"/>
        <w:rPr>
          <w:sz w:val="20"/>
          <w:szCs w:val="20"/>
          <w:color w:val="auto"/>
        </w:rPr>
      </w:pPr>
      <w:r>
        <w:rPr>
          <w:rFonts w:ascii="Arial" w:cs="Arial" w:eastAsia="Arial" w:hAnsi="Arial"/>
          <w:sz w:val="18"/>
          <w:szCs w:val="18"/>
          <w:color w:val="auto"/>
        </w:rPr>
        <w:t>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the first and only therapy approved by the FDA indicated to reduce the risk of ototoxicity associated with cisplatin treatment in pediatric patients with localized, non-metastatic, solid tumors. Further, PEDMARQSI</w:t>
      </w:r>
      <w:r>
        <w:rPr>
          <w:rFonts w:ascii="Arial" w:cs="Arial" w:eastAsia="Arial" w:hAnsi="Arial"/>
          <w:sz w:val="26"/>
          <w:szCs w:val="26"/>
          <w:color w:val="auto"/>
          <w:vertAlign w:val="superscript"/>
        </w:rPr>
        <w:t>TM</w:t>
      </w:r>
      <w:r>
        <w:rPr>
          <w:rFonts w:ascii="Arial" w:cs="Arial" w:eastAsia="Arial" w:hAnsi="Arial"/>
          <w:sz w:val="18"/>
          <w:szCs w:val="18"/>
          <w:color w:val="auto"/>
        </w:rPr>
        <w:t>, known as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 the U.S. was granted marketing authorization by the European Commission in June 2023.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 unique formulation of sodium thiosulfate in single-dose, ready-to-use vials for intravenous use in pediatric patients.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is also the only therapeutic agent with proven efficacy and safety data with an established dosing paradigm, across two open-label, randomized Phase 3 clinical studies, the Clinical Oncology Group (“COG”) Protocol ACCL0431 and SIOPEL 6.</w:t>
      </w:r>
    </w:p>
    <w:p>
      <w:pPr>
        <w:spacing w:after="0" w:line="20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the U.S. and Europe, it is estimated that more than 10,000 children annually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154"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PEDMARK</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Cisplatin Induced Ototoxicity</w:t>
      </w:r>
    </w:p>
    <w:p>
      <w:pPr>
        <w:spacing w:after="0" w:line="2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p>
    <w:p>
      <w:pPr>
        <w:spacing w:after="0" w:line="22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incidence of ototoxicity depends upon the dose and duration of chemotherapy, and many of these children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generated a net loss of approximately $13.4 million for the nine months ended September 30, 2023, and a net loss of $16.9 million for the same period in 2022. As of September 30, 2023, our accumulated deficit was approximately $216.6 million ($203.2 million at December 31, 2022). We believe that our cash and cash equivalents as of September 30, 2023, which totaled $12.4 million, cash from product sales, plus the remaining Petrichor Financing of $20 million in convertible notes subject to mutual agreement between us and Petrichor (see Note 1 and Note 7 to our unaudited interim condensed consolidated financial statements contained elsewhere in this Quarterly Report), will be sufficient to meet our cash requirements through at least the next twelve months. Our projections of our capital requirements are subject to substantial uncertainty, and more capital than we currently anticipate may be required thereafter. To finance our continuing operations,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may need to raise substantial additional funds through either the sale of additional equity, the issuance of debt, the establishment of collaborations, the out-license or sale of certain aspects of our intellectual property portfolio or from other sources.</w:t>
      </w:r>
    </w:p>
    <w:p>
      <w:pPr>
        <w:spacing w:after="0" w:line="18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Our operating expenses will depend on many factors, including the progress of our commercialization efforts abroad and efficiency of our operations and current resources. Our research and development expenses, which include expenses associated with our clinical trials, drug manufacturing to support clinical programs, consulting fees, sponsored research costs, toxicology studies, license fees, milestone payments, and other fees and costs related to the commercialization of our product, will depend on the availability of financial resources, the results of our clinical trials, and any directives from regulatory agencies, which are difficult to predict. Our general and administration expenses include expenses associated with the compensation of employees, stock-based compensation, professional fees, which include legal fees, consulting fees, insurance and other administrative matters associated in support primarily of our commercialization of PEDMARK</w:t>
      </w:r>
      <w:r>
        <w:rPr>
          <w:rFonts w:ascii="Arial" w:cs="Arial" w:eastAsia="Arial" w:hAnsi="Arial"/>
          <w:sz w:val="26"/>
          <w:szCs w:val="26"/>
          <w:color w:val="auto"/>
          <w:vertAlign w:val="superscript"/>
        </w:rPr>
        <w:t>®</w:t>
      </w:r>
      <w:r>
        <w:rPr>
          <w:rFonts w:ascii="Arial" w:cs="Arial" w:eastAsia="Arial" w:hAnsi="Arial"/>
          <w:sz w:val="18"/>
          <w:szCs w:val="18"/>
          <w:color w:val="auto"/>
        </w:rPr>
        <w:t>. Our selling and marketing expenses include remuneration of our sales and marketing employees, dollars spent on marketing campaigns (sponsorships, trade shows, presentations, etc.), and any activities to support marketing and sales activities.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Three months ended September 30, 2023 versus three months ended September 30, 2022:</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of U.S. Dollars</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30, 2023</w:t>
            </w: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September 30, 2022</w:t>
            </w:r>
          </w:p>
        </w:tc>
        <w:tc>
          <w:tcPr>
            <w:tcW w:w="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PEDMARK® product sales, net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6,515</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6,515</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product sales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(331)</w:t>
            </w:r>
          </w:p>
        </w:tc>
        <w:tc>
          <w:tcPr>
            <w:tcW w:w="760" w:type="dxa"/>
            <w:vAlign w:val="bottom"/>
            <w:tcBorders>
              <w:bottom w:val="single" w:sz="8" w:color="CCEEFF"/>
            </w:tcBorders>
            <w:gridSpan w:val="2"/>
          </w:tcPr>
          <w:p>
            <w:pPr>
              <w:jc w:val="center"/>
              <w:ind w:left="134"/>
              <w:spacing w:after="0"/>
              <w:rPr>
                <w:sz w:val="20"/>
                <w:szCs w:val="20"/>
                <w:color w:val="auto"/>
              </w:rPr>
            </w:pPr>
            <w:r>
              <w:rPr>
                <w:rFonts w:ascii="Arial" w:cs="Arial" w:eastAsia="Arial" w:hAnsi="Arial"/>
                <w:sz w:val="18"/>
                <w:szCs w:val="18"/>
                <w:color w:val="auto"/>
                <w:w w:val="99"/>
              </w:rPr>
              <w:t>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6,184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6,184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6"/>
              </w:rPr>
              <w:t>846</w:t>
            </w:r>
          </w:p>
        </w:tc>
        <w:tc>
          <w:tcPr>
            <w:tcW w:w="70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79"/>
              </w:rPr>
              <w:t>11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88"/>
              </w:rPr>
              <w:t>3,384</w:t>
            </w:r>
          </w:p>
        </w:tc>
        <w:tc>
          <w:tcPr>
            <w:tcW w:w="76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47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3,384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administration</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3,805</w:t>
            </w:r>
          </w:p>
        </w:tc>
        <w:tc>
          <w:tcPr>
            <w:tcW w:w="76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9"/>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7,053</w:t>
            </w:r>
          </w:p>
        </w:tc>
        <w:tc>
          <w:tcPr>
            <w:tcW w:w="70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9"/>
              </w:rPr>
              <w:t>89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(3,248)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7,201</w:t>
            </w:r>
          </w:p>
        </w:tc>
        <w:tc>
          <w:tcPr>
            <w:tcW w:w="760" w:type="dxa"/>
            <w:vAlign w:val="bottom"/>
            <w:tcBorders>
              <w:bottom w:val="single" w:sz="8" w:color="CCEEFF"/>
            </w:tcBorders>
            <w:gridSpan w:val="2"/>
          </w:tcPr>
          <w:p>
            <w:pPr>
              <w:jc w:val="center"/>
              <w:ind w:left="134"/>
              <w:spacing w:after="0"/>
              <w:rPr>
                <w:sz w:val="20"/>
                <w:szCs w:val="20"/>
                <w:color w:val="auto"/>
              </w:rPr>
            </w:pPr>
            <w:r>
              <w:rPr>
                <w:rFonts w:ascii="Arial" w:cs="Arial" w:eastAsia="Arial" w:hAnsi="Arial"/>
                <w:sz w:val="18"/>
                <w:szCs w:val="18"/>
                <w:color w:val="auto"/>
                <w:w w:val="86"/>
              </w:rPr>
              <w:t>100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7,899</w:t>
            </w:r>
          </w:p>
        </w:tc>
        <w:tc>
          <w:tcPr>
            <w:tcW w:w="700" w:type="dxa"/>
            <w:vAlign w:val="bottom"/>
            <w:tcBorders>
              <w:bottom w:val="single" w:sz="8" w:color="CCEEFF"/>
            </w:tcBorders>
            <w:gridSpan w:val="2"/>
          </w:tcPr>
          <w:p>
            <w:pPr>
              <w:jc w:val="center"/>
              <w:ind w:left="135"/>
              <w:spacing w:after="0"/>
              <w:rPr>
                <w:sz w:val="20"/>
                <w:szCs w:val="20"/>
                <w:color w:val="auto"/>
              </w:rPr>
            </w:pPr>
            <w:r>
              <w:rPr>
                <w:rFonts w:ascii="Arial" w:cs="Arial" w:eastAsia="Arial" w:hAnsi="Arial"/>
                <w:sz w:val="18"/>
                <w:szCs w:val="18"/>
                <w:color w:val="auto"/>
                <w:w w:val="93"/>
              </w:rPr>
              <w:t>100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(698)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(1,017)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(7,899)</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6,882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Unrealized loss on securities</w:t>
            </w:r>
          </w:p>
        </w:tc>
        <w:tc>
          <w:tcPr>
            <w:tcW w:w="2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3"/>
              </w:rPr>
              <w:t>(13)</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3"/>
              </w:rPr>
              <w:t>(27)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(72)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(64)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5"/>
              </w:rPr>
              <w:t>(856)</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0"/>
              </w:rPr>
              <w:t>(119)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(737)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foreign exchange loss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(11)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102</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24</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78</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(1,867)</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(8,089)</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6,222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6"/>
          <w:szCs w:val="16"/>
          <w:color w:val="auto"/>
        </w:rPr>
        <w:t>We reported net product sales for the three month period ended September 30, 2023 of $6,515 and gross profit of $6,184 after applying cost of product sales of $331. Research and development expenses decreased by $834 for the three months ended September 30, 2023, compared to the same period in 2022. Our research and development activities for this period consisted of costs associated with investigator initiated clinical trials. During the same period in 2022 and prior to approval of PEDMARK</w:t>
      </w:r>
      <w:r>
        <w:rPr>
          <w:rFonts w:ascii="Arial" w:cs="Arial" w:eastAsia="Arial" w:hAnsi="Arial"/>
          <w:sz w:val="23"/>
          <w:szCs w:val="23"/>
          <w:color w:val="auto"/>
          <w:vertAlign w:val="superscript"/>
        </w:rPr>
        <w:t>®</w:t>
      </w:r>
      <w:r>
        <w:rPr>
          <w:rFonts w:ascii="Arial" w:cs="Arial" w:eastAsia="Arial" w:hAnsi="Arial"/>
          <w:sz w:val="16"/>
          <w:szCs w:val="16"/>
          <w:color w:val="auto"/>
        </w:rPr>
        <w:t>, manufacturing costs pertaining to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were expensed to R&amp;D expense in the period incurred, and following approval are reflected in inventory. Selling and marketing expenses were $3,384 for the three months ended September 30, 2023. Selling and marketing expenses include remuneration of our sales and marketing employees, dollars spent on marketing campaigns (sponsorships, trade shows, presentations, etc.), and any activities to support marketing and sales activities. General and administrative expenses decreased by $3,248 compared to the same period in 2022, which was primarily driven by a decrease of non-cash employee remuneration of $1,000 and a decrease in legal expense by $707 as well as a major difference relating to the allocation of sales and marketing expenses to G&amp;A for the period ended September 30, 2022 as we did not launch product until Q4 of 2022.</w:t>
      </w:r>
    </w:p>
    <w:p>
      <w:pPr>
        <w:spacing w:after="0" w:line="203"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Interest expense increased $737 compared to the same period in 2022. This increase is associated with higher interest rates and $20,000 more in funded debt than in the same period in 2022. Further, we hold shares of Processa (NASDAQ: PCSA)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which are marked to market each balance sheet date and unrealized gains or losses are recognized at that time. The value of the Processa shares held by the Company was down by $13 for the three month period ending September 30, 2023, as opposed to a decrease of $27 during the same period in 2022. Other losses were driven mainly by unrealized losses related to our foreign currency transactions. We have vendors that transact in Euros, Great British Pounds and Canadian Dollars. There was an increase of $7 in other losses for the three months ended September 30, 2023, compared to the same period in 2022. Amortization expense is also a non-cash expense and relates to amortization of the deferred issuance costs of the loan facilities with Petrichor. Amortization expense increased by $8 for the three months ended September 30, 2023 compared to the same period in 2022. Interest income was up $78 for the three months ended September 30, 2023, compared to the same period in 2022. This was driven mainly by higher interest rates for the three months ended September 30, 2023 compared to the same period in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Nine months ended September 30, 2023 versus nine months ended September 30, 2022:</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of U.S. Dollars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76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20" w:type="dxa"/>
            <w:vAlign w:val="bottom"/>
            <w:gridSpan w:val="2"/>
            <w:vMerge w:val="continue"/>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2023</w:t>
            </w: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September 30, 2022</w:t>
            </w:r>
          </w:p>
        </w:tc>
        <w:tc>
          <w:tcPr>
            <w:tcW w:w="7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PEDMARK® product sales, net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11,517</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7"/>
              </w:rPr>
              <w:t>11,517</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product sales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(574)</w:t>
            </w:r>
          </w:p>
        </w:tc>
        <w:tc>
          <w:tcPr>
            <w:tcW w:w="840" w:type="dxa"/>
            <w:vAlign w:val="bottom"/>
            <w:tcBorders>
              <w:bottom w:val="single" w:sz="8" w:color="CCEEFF"/>
            </w:tcBorders>
            <w:gridSpan w:val="2"/>
          </w:tcPr>
          <w:p>
            <w:pPr>
              <w:jc w:val="center"/>
              <w:ind w:left="154"/>
              <w:spacing w:after="0"/>
              <w:rPr>
                <w:sz w:val="20"/>
                <w:szCs w:val="20"/>
                <w:color w:val="auto"/>
              </w:rPr>
            </w:pPr>
            <w:r>
              <w:rPr>
                <w:rFonts w:ascii="Arial" w:cs="Arial" w:eastAsia="Arial" w:hAnsi="Arial"/>
                <w:sz w:val="18"/>
                <w:szCs w:val="18"/>
                <w:color w:val="auto"/>
                <w:w w:val="79"/>
              </w:rPr>
              <w:t>5</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5"/>
              </w:rPr>
              <w:t>(574)</w:t>
            </w: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10,943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7"/>
              </w:rPr>
              <w:t>10,943</w:t>
            </w:r>
          </w:p>
        </w:tc>
        <w:tc>
          <w:tcPr>
            <w:tcW w:w="0" w:type="dxa"/>
            <w:vAlign w:val="bottom"/>
          </w:tcPr>
          <w:p>
            <w:pPr>
              <w:spacing w:after="0"/>
              <w:rPr>
                <w:sz w:val="1"/>
                <w:szCs w:val="1"/>
                <w:color w:val="auto"/>
              </w:rPr>
            </w:pPr>
          </w:p>
        </w:tc>
      </w:tr>
      <w:tr>
        <w:trPr>
          <w:trHeight w:val="21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3,414</w:t>
            </w:r>
          </w:p>
        </w:tc>
        <w:tc>
          <w:tcPr>
            <w:tcW w:w="76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89"/>
              </w:rPr>
              <w:t>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1"/>
              </w:rPr>
              <w:t>(3,390)</w:t>
            </w:r>
          </w:p>
        </w:tc>
        <w:tc>
          <w:tcPr>
            <w:tcW w:w="0" w:type="dxa"/>
            <w:vAlign w:val="bottom"/>
          </w:tcPr>
          <w:p>
            <w:pPr>
              <w:spacing w:after="0"/>
              <w:rPr>
                <w:sz w:val="1"/>
                <w:szCs w:val="1"/>
                <w:color w:val="auto"/>
              </w:rPr>
            </w:pPr>
          </w:p>
        </w:tc>
      </w:tr>
      <w:tr>
        <w:trPr>
          <w:trHeight w:val="216"/>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8,255</w:t>
            </w:r>
          </w:p>
        </w:tc>
        <w:tc>
          <w:tcPr>
            <w:tcW w:w="840" w:type="dxa"/>
            <w:vAlign w:val="bottom"/>
            <w:gridSpan w:val="2"/>
          </w:tcPr>
          <w:p>
            <w:pPr>
              <w:jc w:val="center"/>
              <w:ind w:left="174"/>
              <w:spacing w:after="0"/>
              <w:rPr>
                <w:sz w:val="20"/>
                <w:szCs w:val="20"/>
                <w:color w:val="auto"/>
              </w:rPr>
            </w:pPr>
            <w:r>
              <w:rPr>
                <w:rFonts w:ascii="Arial" w:cs="Arial" w:eastAsia="Arial" w:hAnsi="Arial"/>
                <w:sz w:val="18"/>
                <w:szCs w:val="18"/>
                <w:color w:val="auto"/>
                <w:w w:val="89"/>
              </w:rPr>
              <w:t>38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88"/>
              </w:rPr>
              <w:t>8,255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administration</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13,617</w:t>
            </w:r>
          </w:p>
        </w:tc>
        <w:tc>
          <w:tcPr>
            <w:tcW w:w="84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89"/>
              </w:rPr>
              <w:t>62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13,040</w:t>
            </w:r>
          </w:p>
        </w:tc>
        <w:tc>
          <w:tcPr>
            <w:tcW w:w="760" w:type="dxa"/>
            <w:vAlign w:val="bottom"/>
            <w:gridSpan w:val="2"/>
            <w:shd w:val="clear" w:color="auto" w:fill="CCEEFF"/>
          </w:tcPr>
          <w:p>
            <w:pPr>
              <w:jc w:val="center"/>
              <w:ind w:left="175"/>
              <w:spacing w:after="0"/>
              <w:rPr>
                <w:sz w:val="20"/>
                <w:szCs w:val="20"/>
                <w:color w:val="auto"/>
              </w:rPr>
            </w:pPr>
            <w:r>
              <w:rPr>
                <w:rFonts w:ascii="Arial" w:cs="Arial" w:eastAsia="Arial" w:hAnsi="Arial"/>
                <w:sz w:val="18"/>
                <w:szCs w:val="18"/>
                <w:color w:val="auto"/>
                <w:w w:val="89"/>
              </w:rPr>
              <w:t>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3"/>
              </w:rPr>
              <w:t>577</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21,896</w:t>
            </w:r>
          </w:p>
        </w:tc>
        <w:tc>
          <w:tcPr>
            <w:tcW w:w="840" w:type="dxa"/>
            <w:vAlign w:val="bottom"/>
            <w:tcBorders>
              <w:bottom w:val="single" w:sz="8" w:color="CCEEFF"/>
            </w:tcBorders>
            <w:gridSpan w:val="2"/>
          </w:tcPr>
          <w:p>
            <w:pPr>
              <w:jc w:val="center"/>
              <w:ind w:left="154"/>
              <w:spacing w:after="0"/>
              <w:rPr>
                <w:sz w:val="20"/>
                <w:szCs w:val="20"/>
                <w:color w:val="auto"/>
              </w:rPr>
            </w:pPr>
            <w:r>
              <w:rPr>
                <w:rFonts w:ascii="Arial" w:cs="Arial" w:eastAsia="Arial" w:hAnsi="Arial"/>
                <w:sz w:val="18"/>
                <w:szCs w:val="18"/>
                <w:color w:val="auto"/>
                <w:w w:val="93"/>
              </w:rPr>
              <w:t>100</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16,454</w:t>
            </w:r>
          </w:p>
        </w:tc>
        <w:tc>
          <w:tcPr>
            <w:tcW w:w="760" w:type="dxa"/>
            <w:vAlign w:val="bottom"/>
            <w:tcBorders>
              <w:bottom w:val="single" w:sz="8" w:color="CCEEFF"/>
            </w:tcBorders>
            <w:gridSpan w:val="2"/>
          </w:tcPr>
          <w:p>
            <w:pPr>
              <w:jc w:val="center"/>
              <w:ind w:left="175"/>
              <w:spacing w:after="0"/>
              <w:rPr>
                <w:sz w:val="20"/>
                <w:szCs w:val="20"/>
                <w:color w:val="auto"/>
              </w:rPr>
            </w:pPr>
            <w:r>
              <w:rPr>
                <w:rFonts w:ascii="Arial" w:cs="Arial" w:eastAsia="Arial" w:hAnsi="Arial"/>
                <w:sz w:val="18"/>
                <w:szCs w:val="18"/>
                <w:color w:val="auto"/>
                <w:w w:val="86"/>
              </w:rPr>
              <w:t>100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8"/>
              </w:rPr>
              <w:t>5,442</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(10,953)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(16,454)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8"/>
              </w:rPr>
              <w:t>5,501</w:t>
            </w:r>
          </w:p>
        </w:tc>
        <w:tc>
          <w:tcPr>
            <w:tcW w:w="0" w:type="dxa"/>
            <w:vAlign w:val="bottom"/>
          </w:tcPr>
          <w:p>
            <w:pPr>
              <w:spacing w:after="0"/>
              <w:rPr>
                <w:sz w:val="1"/>
                <w:szCs w:val="1"/>
                <w:color w:val="auto"/>
              </w:rPr>
            </w:pPr>
          </w:p>
        </w:tc>
      </w:tr>
      <w:tr>
        <w:trPr>
          <w:trHeight w:val="210"/>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Unrealized loss on securities</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(43)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(126)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5"/>
              </w:rPr>
              <w:t>(138)</w:t>
            </w:r>
          </w:p>
        </w:tc>
        <w:tc>
          <w:tcPr>
            <w:tcW w:w="0" w:type="dxa"/>
            <w:vAlign w:val="bottom"/>
          </w:tcPr>
          <w:p>
            <w:pPr>
              <w:spacing w:after="0"/>
              <w:rPr>
                <w:sz w:val="1"/>
                <w:szCs w:val="1"/>
                <w:color w:val="auto"/>
              </w:rPr>
            </w:pPr>
          </w:p>
        </w:tc>
      </w:tr>
      <w:tr>
        <w:trPr>
          <w:trHeight w:val="216"/>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(2,479)</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left="11"/>
              <w:spacing w:after="0"/>
              <w:rPr>
                <w:sz w:val="20"/>
                <w:szCs w:val="20"/>
                <w:color w:val="auto"/>
              </w:rPr>
            </w:pPr>
            <w:r>
              <w:rPr>
                <w:rFonts w:ascii="Arial" w:cs="Arial" w:eastAsia="Arial" w:hAnsi="Arial"/>
                <w:sz w:val="18"/>
                <w:szCs w:val="18"/>
                <w:color w:val="auto"/>
                <w:w w:val="91"/>
              </w:rPr>
              <w:t>(2,245)</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foreign exchange loss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326</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3"/>
              </w:rPr>
              <w:t>284</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(13,363)</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(16,857)</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88"/>
              </w:rPr>
              <w:t>3,494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6"/>
          <w:szCs w:val="16"/>
          <w:color w:val="auto"/>
        </w:rPr>
        <w:t>We reported net product sales for the nine month period ended September 30, 2023 of $11,517 and gross profit of $10,943 after applying cost of product sales of $574. Research and development expenses decreased by $3,390 for the nine months ended September 30, 2023, compared to the same period in 2022. Research activities, since the launch of PEDMARK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have been limited to investigator initiated clinical trials. Selling and marketing expenses were $8,255 for the nine months ended September 30, 2023. Selling and marketing expenses include remuneration of our sales and marketing employees, dollars spent on marketing campaigns (sponsorships, trade shows, presentations, etc.), and any activities to support marketing and sales activities. General and administrative expenses increased by $577 over the same period in 2022. This difference was primarily driven by an increase in non-cash equity compensation and higher wages in the amount of $1,448 for the nine months ended September 30, 2023 over the same period in 2022. For the nine months ended September 30, 2023, there was a decrease in legal expense of $399. The rest of the difference primarily relates to sales and marketing expenses being included in G&amp;A in 2022 before product launch in Q4 of 2022.</w:t>
      </w:r>
    </w:p>
    <w:p>
      <w:pPr>
        <w:spacing w:after="0" w:line="73"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unrealized loss on our shares of Processa for the nine months ended on September 30, 2023 was $43, which is in contrast to the $126 loss for the same period in 2022. Foreign currency transaction gain was $3 for the nine months ended September 30, 2023 ($6 loss for same period in 2022). Amortization expense was $217 for the nine months ended September 30, 2023, compared to $79 for the same period in 2022. Our amortization expense relates to the capitalized debt issuance costs associated with the Petrichor notes. Interest expense increased $2,245 for the nine months ended September 30, 2023, over same period in 2022. We replaced the $5 million loan facility with Bridge Bank with a larger facility, $25 million, with Petrichor. We took on this convertible debt load in a rising interest rate environment. Interest income was $284 higher for the nine months ended September 30, 2023, compared to the same period in 2022. This was driven mainly by higher interest rates for the nine months ended September 30, 2023 compared to the same period in 2022.</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Selected Asset and Liability Data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2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220" w:type="dxa"/>
            <w:vAlign w:val="bottom"/>
            <w:gridSpan w:val="2"/>
            <w:vMerge w:val="continue"/>
          </w:tcPr>
          <w:p>
            <w:pPr>
              <w:spacing w:after="0"/>
              <w:rPr>
                <w:sz w:val="14"/>
                <w:szCs w:val="14"/>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September 30, 2023</w:t>
            </w: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6,547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line="216"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15,033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22,120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line="216" w:lineRule="exact"/>
              <w:rPr>
                <w:sz w:val="20"/>
                <w:szCs w:val="20"/>
                <w:color w:val="auto"/>
              </w:rPr>
            </w:pPr>
            <w:r>
              <w:rPr>
                <w:rFonts w:ascii="Arial" w:cs="Arial" w:eastAsia="Arial" w:hAnsi="Arial"/>
                <w:sz w:val="25"/>
                <w:szCs w:val="25"/>
                <w:color w:val="auto"/>
                <w:vertAlign w:val="superscript"/>
              </w:rPr>
              <w:t>(1)</w:t>
            </w:r>
            <w:r>
              <w:rPr>
                <w:rFonts w:ascii="Arial" w:cs="Arial" w:eastAsia="Arial" w:hAnsi="Arial"/>
                <w:sz w:val="17"/>
                <w:szCs w:val="17"/>
                <w:color w:val="auto"/>
              </w:rPr>
              <w:t xml:space="preserve"> [Current assets – 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Common stock and additional paid 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204,789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199,388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(216,563)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(10,531)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(2,569)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Cash and cash equivalents were $12,399 at September 30, 2023 and $23,774 at December 31, 2022. The decrease in cash and cash equivalents between September 30, 2023 and December 31, 2022 is the result of expenses related to our normal operations, offset by inflows of cash generated from net product sales of $11,517 and $969 from various option exercises. There was an increase of $3,593 in other current assets between December 31, 2022, and September 30, 2023.</w:t>
      </w:r>
    </w:p>
    <w:p>
      <w:pPr>
        <w:spacing w:after="0" w:line="15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Current liabilities decreased by $695 between December 31, 2022, and September 30, 2023. The decrease was driven mainly by an increase in accounts payable ($551), offset by a large decrease of $1,268 in accrued expenses.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Working capital decreased between December 31, 2022, and September 30, 2023, by $7,087. The decrease relates to a net cash inflow from product sales and various option exercises, offset by expenditures for operating activities for the nine months ended September 30,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illustrates a summary of cash flow data for the nine month period ended September 30, 2023 and 2022:</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gridSpan w:val="2"/>
          </w:tcPr>
          <w:p>
            <w:pPr>
              <w:ind w:left="2040"/>
              <w:spacing w:after="0"/>
              <w:rPr>
                <w:sz w:val="20"/>
                <w:szCs w:val="20"/>
                <w:color w:val="auto"/>
              </w:rPr>
            </w:pPr>
            <w:r>
              <w:rPr>
                <w:rFonts w:ascii="Arial" w:cs="Arial" w:eastAsia="Arial" w:hAnsi="Arial"/>
                <w:sz w:val="14"/>
                <w:szCs w:val="14"/>
                <w:b w:val="1"/>
                <w:bCs w:val="1"/>
                <w:color w:val="auto"/>
              </w:rPr>
              <w:t>Selected Cash Flow Data</w:t>
            </w: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760" w:type="dxa"/>
            <w:vAlign w:val="bottom"/>
            <w:gridSpan w:val="2"/>
          </w:tcPr>
          <w:p>
            <w:pPr>
              <w:ind w:left="1780"/>
              <w:spacing w:after="0" w:line="142" w:lineRule="exact"/>
              <w:rPr>
                <w:sz w:val="20"/>
                <w:szCs w:val="20"/>
                <w:color w:val="auto"/>
              </w:rPr>
            </w:pPr>
            <w:r>
              <w:rPr>
                <w:rFonts w:ascii="Arial" w:cs="Arial" w:eastAsia="Arial" w:hAnsi="Arial"/>
                <w:sz w:val="14"/>
                <w:szCs w:val="14"/>
                <w:b w:val="1"/>
                <w:bCs w:val="1"/>
                <w:color w:val="auto"/>
              </w:rPr>
              <w:t>(dollars and shares in thousands)</w:t>
            </w:r>
          </w:p>
        </w:tc>
        <w:tc>
          <w:tcPr>
            <w:tcW w:w="280" w:type="dxa"/>
            <w:vAlign w:val="bottom"/>
          </w:tcPr>
          <w:p>
            <w:pPr>
              <w:spacing w:after="0"/>
              <w:rPr>
                <w:sz w:val="12"/>
                <w:szCs w:val="12"/>
                <w:color w:val="auto"/>
              </w:rPr>
            </w:pPr>
          </w:p>
        </w:tc>
        <w:tc>
          <w:tcPr>
            <w:tcW w:w="1160" w:type="dxa"/>
            <w:vAlign w:val="bottom"/>
          </w:tcPr>
          <w:p>
            <w:pPr>
              <w:jc w:val="right"/>
              <w:ind w:right="496"/>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534"/>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92"/>
              </w:rPr>
              <w:t>(12,283)</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center"/>
              <w:ind w:right="54"/>
              <w:spacing w:after="0"/>
              <w:rPr>
                <w:sz w:val="20"/>
                <w:szCs w:val="20"/>
                <w:color w:val="auto"/>
              </w:rPr>
            </w:pPr>
            <w:r>
              <w:rPr>
                <w:rFonts w:ascii="Arial" w:cs="Arial" w:eastAsia="Arial" w:hAnsi="Arial"/>
                <w:sz w:val="18"/>
                <w:szCs w:val="18"/>
                <w:color w:val="auto"/>
                <w:w w:val="89"/>
              </w:rPr>
              <w:t>(11,256)</w:t>
            </w: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8"/>
                <w:szCs w:val="18"/>
                <w:color w:val="auto"/>
                <w:w w:val="99"/>
              </w:rPr>
              <w:t>—</w:t>
            </w:r>
          </w:p>
        </w:tc>
      </w:tr>
      <w:tr>
        <w:trPr>
          <w:trHeight w:val="216"/>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86"/>
              </w:rPr>
              <w:t>908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0"/>
              </w:rPr>
              <w:t>19,908</w:t>
            </w:r>
          </w:p>
        </w:tc>
      </w:tr>
      <w:tr>
        <w:trPr>
          <w:trHeight w:val="21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Net cash flow</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92"/>
              </w:rPr>
              <w:t>(11,375)</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8"/>
                <w:szCs w:val="18"/>
                <w:color w:val="auto"/>
                <w:w w:val="88"/>
              </w:rPr>
              <w:t>8,652</w:t>
            </w: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Net cash used in operating activities for the nine months ended September 30, 2023 and 2022, primarily reflected a net loss of $13,363 and $16,857, respectively. The nine month losses were adjusted for the add back of non-cash items consisting of $4,497 and $3,363, respectively, in stock-based compensation expense, with unrealized loss on securities of $43 and $126, respectively, and amortization expense of $217 and $79, respectively, for the nine months ended September 30, 2023, and 2022. For the nine months ended September 30, 2023 there was an increase in other current assets of $3,593 and a decrease of $756 during the same period in 2022. For the nine months ended September 30, 2023, there was a net decrease in current liabilities of $696, with a net increase of $1,273 during that same period in 2022. Nine month negative cash flows from operating activities were $12,283 and $11,256, respectively, for the periods ended September 30, 2023 and 2022. Net cash provided by financing activities for the nine months ended September 30, 2023, were $908 and $19,908, respectively. Net cash flows from the nine month period ended September 30, 2023 and 2022, were negative $11,375, and positive $8,652, respectively.</w:t>
      </w:r>
    </w:p>
    <w:p>
      <w:pPr>
        <w:spacing w:after="0" w:line="18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continue to pursue various strategic alternatives including collaborations with other pharmaceutical and biotechnology companies. Our projections of further capital requirements are subject to substantial uncertainty. Our working capital 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Share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outstanding share data as of September 30, 2023 and December 31, 2022 was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Outstanding Share Type</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26,633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26,361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272</w:t>
            </w:r>
          </w:p>
        </w:tc>
        <w:tc>
          <w:tcPr>
            <w:tcW w:w="0" w:type="dxa"/>
            <w:vAlign w:val="bottom"/>
          </w:tcPr>
          <w:p>
            <w:pPr>
              <w:spacing w:after="0"/>
              <w:rPr>
                <w:sz w:val="1"/>
                <w:szCs w:val="1"/>
                <w:color w:val="auto"/>
              </w:rPr>
            </w:pP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1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5,005</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4,539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466</w:t>
            </w:r>
          </w:p>
        </w:tc>
        <w:tc>
          <w:tcPr>
            <w:tcW w:w="0" w:type="dxa"/>
            <w:vAlign w:val="bottom"/>
          </w:tcPr>
          <w:p>
            <w:pPr>
              <w:spacing w:after="0"/>
              <w:rPr>
                <w:sz w:val="1"/>
                <w:szCs w:val="1"/>
                <w:color w:val="auto"/>
              </w:rPr>
            </w:pPr>
          </w:p>
        </w:tc>
      </w:tr>
      <w:tr>
        <w:trPr>
          <w:trHeight w:val="209"/>
        </w:trPr>
        <w:tc>
          <w:tcPr>
            <w:tcW w:w="60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31,788</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31,050</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738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invest excess cash and cash equivalents in high credit quality investments held by financial institutions in accordance with our investment policy designed to protect the principal investment. At September 30, 2023, we had approximately $2,007 in our cash accounts and $10,392 in savings and money market accounts. While we have never experienced any loss or write down of our money market investments since our inception, the amounts we hold in money market accounts are substantially above the $250 amount insured by the FDIC and may lose value.</w:t>
      </w:r>
    </w:p>
    <w:p>
      <w:pPr>
        <w:spacing w:after="0" w:line="1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 our inception, we have not had any material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None, other than the OHSU Agreement and lease agreements described in our unaudited interim condensed consolidated financial statements and related notes appearing elsewhere in this Quarterly Report, and the severance amounts as disclosed in the Annual Report.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nine months ended September 30, 2023.</w:t>
      </w: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ind w:left="1020" w:hanging="97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our Chief Executive Officer and our Chief Financial Officer, as appropriate to allow timely decisions regarding required disclosure.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Based on this evaluation at the end of the period covered by this Quarterly Report on Form 10-Q, our Chief Executive Officer and our Chief Financial Officer, have concluded that our disclosure controls and procedures were effective at the reasonable assurance level as of September 30, 2023.</w:t>
      </w:r>
    </w:p>
    <w:p>
      <w:pPr>
        <w:spacing w:after="0" w:line="179" w:lineRule="exact"/>
        <w:rPr>
          <w:sz w:val="20"/>
          <w:szCs w:val="20"/>
          <w:color w:val="auto"/>
        </w:rPr>
      </w:pPr>
    </w:p>
    <w:p>
      <w:pPr>
        <w:ind w:left="980" w:hanging="930"/>
        <w:spacing w:after="0"/>
        <w:tabs>
          <w:tab w:leader="none" w:pos="9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79"/>
        <w:spacing w:after="0" w:line="300" w:lineRule="auto"/>
        <w:rPr>
          <w:sz w:val="20"/>
          <w:szCs w:val="20"/>
          <w:color w:val="auto"/>
        </w:rPr>
      </w:pPr>
      <w:r>
        <w:rPr>
          <w:rFonts w:ascii="Arial" w:cs="Arial" w:eastAsia="Arial" w:hAnsi="Arial"/>
          <w:sz w:val="17"/>
          <w:szCs w:val="17"/>
          <w:color w:val="auto"/>
        </w:rPr>
        <w:t>For information about our legal proceedings, please see our Commitments and Contingencies footnote (Note 6) to our unaudited interim condensed consolidated financial statements included in Part 1. of this Quarterly Report</w:t>
      </w:r>
      <w:r>
        <w:rPr>
          <w:rFonts w:ascii="Arial" w:cs="Arial" w:eastAsia="Arial" w:hAnsi="Arial"/>
          <w:sz w:val="20"/>
          <w:szCs w:val="20"/>
          <w:color w:val="auto"/>
        </w:rPr>
        <w: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November 6, 2023, we issued a press release announcing our financial results for the quarter ended September 30, 2023.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0000EE"/>
                <w:w w:val="93"/>
              </w:rPr>
              <w:t>Certification of Chief Executive Officer of the Company in accordance with Section 302 of the Sarbanes-</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Oxley Act of 2002 (filed herewith).</w:t>
            </w:r>
          </w:p>
        </w:tc>
        <w:tc>
          <w:tcPr>
            <w:tcW w:w="1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Chief Financial Officer of the Company in accordance with Section 302 of the Sarbanes-</w:t>
            </w:r>
          </w:p>
        </w:tc>
        <w:tc>
          <w:tcPr>
            <w:tcW w:w="18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Arial" w:cs="Arial" w:eastAsia="Arial" w:hAnsi="Arial"/>
                <w:sz w:val="18"/>
                <w:szCs w:val="18"/>
                <w:color w:val="0000EE"/>
              </w:rPr>
              <w:t>Oxley Act of 2002 (filed herewith).</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Executive Officer and Chief Financial Officer of the Company in accordance with</w:t>
            </w:r>
          </w:p>
        </w:tc>
        <w:tc>
          <w:tcPr>
            <w:tcW w:w="22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Section 906 of the Sarbanes-Oxley Act of 2002 (filed herewith).</w:t>
            </w:r>
          </w:p>
        </w:tc>
        <w:tc>
          <w:tcPr>
            <w:tcW w:w="3100" w:type="dxa"/>
            <w:vAlign w:val="bottom"/>
            <w:gridSpan w:val="5"/>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50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Press Release for Quarter Ended September 30, 2023 (filed herewith).</w:t>
            </w:r>
          </w:p>
        </w:tc>
        <w:tc>
          <w:tcPr>
            <w:tcW w:w="2680" w:type="dxa"/>
            <w:vAlign w:val="bottom"/>
            <w:gridSpan w:val="4"/>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240" w:right="799" w:hanging="1184"/>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5920" w:type="dxa"/>
            <w:vAlign w:val="bottom"/>
            <w:gridSpan w:val="2"/>
          </w:tcPr>
          <w:p>
            <w:pPr>
              <w:ind w:left="1220"/>
              <w:spacing w:after="0"/>
              <w:rPr>
                <w:sz w:val="20"/>
                <w:szCs w:val="20"/>
                <w:color w:val="auto"/>
              </w:rPr>
            </w:pPr>
            <w:r>
              <w:rPr>
                <w:rFonts w:ascii="Arial" w:cs="Arial" w:eastAsia="Arial" w:hAnsi="Arial"/>
                <w:sz w:val="18"/>
                <w:szCs w:val="18"/>
                <w:color w:val="auto"/>
              </w:rPr>
              <w:t>Fennec Pharmaceuticals Inc.</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November 9, 2023</w:t>
            </w:r>
          </w:p>
        </w:tc>
        <w:tc>
          <w:tcPr>
            <w:tcW w:w="1620" w:type="dxa"/>
            <w:vAlign w:val="bottom"/>
          </w:tcPr>
          <w:p>
            <w:pPr>
              <w:ind w:left="12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Rostislav Raykov</w:t>
            </w:r>
          </w:p>
        </w:tc>
      </w:tr>
      <w:tr>
        <w:trPr>
          <w:trHeight w:val="195"/>
        </w:trPr>
        <w:tc>
          <w:tcPr>
            <w:tcW w:w="2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Rostislav Raykov</w:t>
            </w:r>
          </w:p>
        </w:tc>
      </w:tr>
      <w:tr>
        <w:trPr>
          <w:trHeight w:val="216"/>
        </w:trPr>
        <w:tc>
          <w:tcPr>
            <w:tcW w:w="2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November 9, 2023</w:t>
            </w:r>
          </w:p>
        </w:tc>
        <w:tc>
          <w:tcPr>
            <w:tcW w:w="1620" w:type="dxa"/>
            <w:vAlign w:val="bottom"/>
          </w:tcPr>
          <w:p>
            <w:pPr>
              <w:ind w:left="122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Andrade</w:t>
            </w:r>
          </w:p>
        </w:tc>
      </w:tr>
      <w:tr>
        <w:trPr>
          <w:trHeight w:val="195"/>
        </w:trPr>
        <w:tc>
          <w:tcPr>
            <w:tcW w:w="2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Robert Andrade</w:t>
            </w:r>
          </w:p>
        </w:tc>
      </w:tr>
      <w:tr>
        <w:trPr>
          <w:trHeight w:val="216"/>
        </w:trPr>
        <w:tc>
          <w:tcPr>
            <w:tcW w:w="2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(principal financial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Rostislav Raykov, certify that:</w:t>
      </w:r>
    </w:p>
    <w:p>
      <w:pPr>
        <w:spacing w:after="0" w:line="252" w:lineRule="exact"/>
        <w:rPr>
          <w:sz w:val="20"/>
          <w:szCs w:val="20"/>
          <w:color w:val="auto"/>
        </w:rPr>
      </w:pPr>
    </w:p>
    <w:p>
      <w:pPr>
        <w:ind w:left="560" w:hanging="30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2023 of Fennec Pharmaceuticals Inc.;</w:t>
      </w:r>
    </w:p>
    <w:p>
      <w:pPr>
        <w:spacing w:after="0" w:line="46" w:lineRule="exact"/>
        <w:rPr>
          <w:rFonts w:ascii="Arial" w:cs="Arial" w:eastAsia="Arial" w:hAnsi="Arial"/>
          <w:sz w:val="16"/>
          <w:szCs w:val="16"/>
          <w:color w:val="auto"/>
        </w:rPr>
      </w:pPr>
    </w:p>
    <w:p>
      <w:pPr>
        <w:ind w:left="560" w:right="300" w:hanging="308"/>
        <w:spacing w:after="0" w:line="250"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60" w:right="280" w:hanging="308"/>
        <w:spacing w:after="0" w:line="250"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8"/>
          <w:szCs w:val="18"/>
          <w:color w:val="auto"/>
        </w:rPr>
      </w:pPr>
    </w:p>
    <w:p>
      <w:pPr>
        <w:ind w:left="560" w:right="120" w:hanging="308"/>
        <w:spacing w:after="0" w:line="250"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1260" w:right="220" w:hanging="400"/>
        <w:spacing w:after="0" w:line="250"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260" w:right="140" w:hanging="400"/>
        <w:spacing w:after="0" w:line="281" w:lineRule="auto"/>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260" w:hanging="400"/>
        <w:spacing w:after="0" w:line="250"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260" w:right="120" w:hanging="400"/>
        <w:spacing w:after="0" w:line="250"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60" w:right="460" w:hanging="308"/>
        <w:spacing w:after="0" w:line="250" w:lineRule="auto"/>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1260" w:hanging="400"/>
        <w:spacing w:after="0" w:line="250"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260" w:right="300" w:hanging="400"/>
        <w:spacing w:after="0" w:line="260"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14605</wp:posOffset>
            </wp:positionV>
            <wp:extent cx="2914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Rostislav Raykov</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FENNEC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Robert Andrade, certify that:</w:t>
      </w:r>
    </w:p>
    <w:p>
      <w:pPr>
        <w:spacing w:after="0" w:line="252" w:lineRule="exact"/>
        <w:rPr>
          <w:sz w:val="20"/>
          <w:szCs w:val="20"/>
          <w:color w:val="auto"/>
        </w:rPr>
      </w:pPr>
    </w:p>
    <w:p>
      <w:pPr>
        <w:ind w:left="580" w:hanging="315"/>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2023, of Fennec Pharmaceuticals Inc.;</w:t>
      </w:r>
    </w:p>
    <w:p>
      <w:pPr>
        <w:spacing w:after="0" w:line="46" w:lineRule="exact"/>
        <w:rPr>
          <w:rFonts w:ascii="Arial" w:cs="Arial" w:eastAsia="Arial" w:hAnsi="Arial"/>
          <w:sz w:val="16"/>
          <w:szCs w:val="16"/>
          <w:color w:val="auto"/>
        </w:rPr>
      </w:pPr>
    </w:p>
    <w:p>
      <w:pPr>
        <w:ind w:left="580" w:right="300" w:hanging="315"/>
        <w:spacing w:after="0" w:line="26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80" w:right="260" w:hanging="315"/>
        <w:spacing w:after="0" w:line="26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20" w:hanging="315"/>
        <w:spacing w:after="0" w:line="26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80" w:hanging="428"/>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p>
      <w:pPr>
        <w:ind w:left="1300" w:right="100" w:hanging="428"/>
        <w:spacing w:after="0" w:line="299"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280" w:hanging="428"/>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428"/>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580" w:right="440" w:hanging="315"/>
        <w:spacing w:after="0" w:line="266"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428"/>
        <w:spacing w:after="0" w:line="26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80" w:hanging="428"/>
        <w:spacing w:after="0" w:line="29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3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14605</wp:posOffset>
            </wp:positionV>
            <wp:extent cx="31032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Robert Andrade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Fennec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2023 (the “</w:t>
      </w:r>
      <w:r>
        <w:rPr>
          <w:rFonts w:ascii="Arial" w:cs="Arial" w:eastAsia="Arial" w:hAnsi="Arial"/>
          <w:sz w:val="18"/>
          <w:szCs w:val="18"/>
          <w:u w:val="single" w:color="auto"/>
          <w:color w:val="auto"/>
        </w:rPr>
        <w:t>Report</w:t>
      </w:r>
      <w:r>
        <w:rPr>
          <w:rFonts w:ascii="Arial" w:cs="Arial" w:eastAsia="Arial" w:hAnsi="Arial"/>
          <w:sz w:val="18"/>
          <w:szCs w:val="18"/>
          <w:color w:val="auto"/>
        </w:rPr>
        <w:t>”), each of the undersigned, Rostislav Raykov, Chief Executive Officer of the Company, and Robert Andrade, Chief Financial Officer of the Company, hereby certifies pursuant to 18 U.S.C. §1350, as adopted pursuant to Section 906 of the Sarbanes-Oxley Act of 2002, that:</w:t>
      </w:r>
    </w:p>
    <w:p>
      <w:pPr>
        <w:spacing w:after="0" w:line="200" w:lineRule="exact"/>
        <w:rPr>
          <w:sz w:val="20"/>
          <w:szCs w:val="20"/>
          <w:color w:val="auto"/>
        </w:rPr>
      </w:pPr>
    </w:p>
    <w:p>
      <w:pPr>
        <w:spacing w:after="0" w:line="216"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46" w:lineRule="exact"/>
        <w:rPr>
          <w:rFonts w:ascii="Arial" w:cs="Arial" w:eastAsia="Arial" w:hAnsi="Arial"/>
          <w:sz w:val="16"/>
          <w:szCs w:val="16"/>
          <w:color w:val="auto"/>
        </w:rPr>
      </w:pPr>
    </w:p>
    <w:p>
      <w:pPr>
        <w:ind w:left="1140" w:right="360" w:hanging="484"/>
        <w:spacing w:after="0" w:line="260"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4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/s/ Rostislav Raykov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Rostislav Raykov</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By: /s/ Robert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Robert Andrade</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1251585" cy="600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51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50" w:right="70"/>
        <w:spacing w:after="0" w:line="282" w:lineRule="auto"/>
        <w:rPr>
          <w:sz w:val="20"/>
          <w:szCs w:val="20"/>
          <w:color w:val="auto"/>
        </w:rPr>
      </w:pPr>
      <w:r>
        <w:rPr>
          <w:rFonts w:ascii="Arial" w:cs="Arial" w:eastAsia="Arial" w:hAnsi="Arial"/>
          <w:sz w:val="25"/>
          <w:szCs w:val="25"/>
          <w:b w:val="1"/>
          <w:bCs w:val="1"/>
          <w:color w:val="auto"/>
        </w:rPr>
        <w:t>FENNEC PHARMACEUTICALS ANNOUNCES THIRD QUARTER 2023 FINANCIAL RESULTS AND PROVIDES BUSINESS UPDATE</w:t>
      </w:r>
    </w:p>
    <w:p>
      <w:pPr>
        <w:spacing w:after="0" w:line="12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20"/>
          <w:szCs w:val="20"/>
          <w:i w:val="1"/>
          <w:iCs w:val="1"/>
          <w:color w:val="auto"/>
        </w:rPr>
        <w:t>~</w:t>
      </w:r>
      <w:r>
        <w:rPr>
          <w:sz w:val="20"/>
          <w:szCs w:val="20"/>
          <w:color w:val="auto"/>
        </w:rPr>
        <w:tab/>
      </w:r>
      <w:r>
        <w:rPr>
          <w:rFonts w:ascii="Arial" w:cs="Arial" w:eastAsia="Arial" w:hAnsi="Arial"/>
          <w:sz w:val="18"/>
          <w:szCs w:val="18"/>
          <w:i w:val="1"/>
          <w:iCs w:val="1"/>
          <w:color w:val="auto"/>
        </w:rPr>
        <w:t>PEDMARK</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Net Product Revenue of $6.5 Million, a 96% Increase Compared to Second Quarter ~</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Strong Commercial Uptake Underscoring Significant Unmet Medical Need ~</w:t>
      </w:r>
    </w:p>
    <w:p>
      <w:pPr>
        <w:spacing w:after="0" w:line="115" w:lineRule="exact"/>
        <w:rPr>
          <w:sz w:val="20"/>
          <w:szCs w:val="20"/>
          <w:color w:val="auto"/>
        </w:rPr>
      </w:pPr>
    </w:p>
    <w:p>
      <w:pPr>
        <w:jc w:val="center"/>
        <w:ind w:left="3360" w:right="559" w:hanging="2778"/>
        <w:spacing w:after="0" w:line="282" w:lineRule="auto"/>
        <w:tabs>
          <w:tab w:leader="none" w:pos="706" w:val="left"/>
        </w:tabs>
        <w:numPr>
          <w:ilvl w:val="0"/>
          <w:numId w:val="17"/>
        </w:numPr>
        <w:rPr>
          <w:rFonts w:ascii="Arial" w:cs="Arial" w:eastAsia="Arial" w:hAnsi="Arial"/>
          <w:sz w:val="20"/>
          <w:szCs w:val="20"/>
          <w:i w:val="1"/>
          <w:iCs w:val="1"/>
          <w:color w:val="auto"/>
        </w:rPr>
      </w:pPr>
      <w:r>
        <w:rPr>
          <w:rFonts w:ascii="Arial" w:cs="Arial" w:eastAsia="Arial" w:hAnsi="Arial"/>
          <w:sz w:val="18"/>
          <w:szCs w:val="18"/>
          <w:i w:val="1"/>
          <w:iCs w:val="1"/>
          <w:color w:val="auto"/>
        </w:rPr>
        <w:t>Received Approval in October 2023 by the Medicines and Healthcare Products Regulatory Agency (MHRA) in the U.K. for PEDMARQSI ~</w:t>
      </w:r>
    </w:p>
    <w:p>
      <w:pPr>
        <w:spacing w:after="0" w:line="40" w:lineRule="exact"/>
        <w:rPr>
          <w:rFonts w:ascii="Arial" w:cs="Arial" w:eastAsia="Arial" w:hAnsi="Arial"/>
          <w:sz w:val="20"/>
          <w:szCs w:val="20"/>
          <w:i w:val="1"/>
          <w:iCs w:val="1"/>
          <w:color w:val="auto"/>
        </w:rPr>
      </w:pPr>
    </w:p>
    <w:p>
      <w:pPr>
        <w:ind w:left="2360" w:hanging="190"/>
        <w:spacing w:after="0"/>
        <w:tabs>
          <w:tab w:leader="none" w:pos="236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to Host Conference Call Today at 8:30 a.m. ET ~</w:t>
      </w:r>
    </w:p>
    <w:p>
      <w:pPr>
        <w:spacing w:after="0" w:line="33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9"/>
          <w:szCs w:val="19"/>
          <w:b w:val="1"/>
          <w:bCs w:val="1"/>
          <w:color w:val="auto"/>
        </w:rPr>
        <w:t xml:space="preserve">Research Triangle Park, NC., Nov. 06, 2023 (GLOBE NEWSWIRE) </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Fennec Pharmaceuticals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(NASDAQ:FENC; TSX: FRX), a commercial stage specialty pharmaceutical company, today reported its financial results for the third quarter ended September 30, 2023 and provided a business update.</w:t>
      </w:r>
    </w:p>
    <w:p>
      <w:pPr>
        <w:spacing w:after="0" w:line="181" w:lineRule="exact"/>
        <w:rPr>
          <w:sz w:val="20"/>
          <w:szCs w:val="20"/>
          <w:color w:val="auto"/>
        </w:rPr>
      </w:pPr>
    </w:p>
    <w:p>
      <w:pPr>
        <w:jc w:val="both"/>
        <w:ind w:left="140" w:right="159"/>
        <w:spacing w:after="0" w:line="219" w:lineRule="auto"/>
        <w:rPr>
          <w:sz w:val="20"/>
          <w:szCs w:val="20"/>
          <w:color w:val="auto"/>
        </w:rPr>
      </w:pPr>
      <w:r>
        <w:rPr>
          <w:rFonts w:ascii="Arial" w:cs="Arial" w:eastAsia="Arial" w:hAnsi="Arial"/>
          <w:sz w:val="19"/>
          <w:szCs w:val="19"/>
          <w:color w:val="auto"/>
        </w:rPr>
        <w:t>“We continued to see strong commercial performance with PEDMARK</w:t>
      </w:r>
      <w:r>
        <w:rPr>
          <w:rFonts w:ascii="Arial" w:cs="Arial" w:eastAsia="Arial" w:hAnsi="Arial"/>
          <w:sz w:val="28"/>
          <w:szCs w:val="28"/>
          <w:color w:val="auto"/>
          <w:vertAlign w:val="superscript"/>
        </w:rPr>
        <w:t>®</w:t>
      </w:r>
      <w:r>
        <w:rPr>
          <w:rFonts w:ascii="Arial" w:cs="Arial" w:eastAsia="Arial" w:hAnsi="Arial"/>
          <w:sz w:val="19"/>
          <w:szCs w:val="19"/>
          <w:color w:val="auto"/>
        </w:rPr>
        <w:t xml:space="preserve"> in the third quarter demonstrated by net product revenue of $6.5 million representing 96% quarter over quarter growth. PEDMARK</w:t>
      </w:r>
      <w:r>
        <w:rPr>
          <w:rFonts w:ascii="Arial" w:cs="Arial" w:eastAsia="Arial" w:hAnsi="Arial"/>
          <w:sz w:val="28"/>
          <w:szCs w:val="28"/>
          <w:color w:val="auto"/>
          <w:vertAlign w:val="superscript"/>
        </w:rPr>
        <w:t>®</w:t>
      </w:r>
      <w:r>
        <w:rPr>
          <w:rFonts w:ascii="Arial" w:cs="Arial" w:eastAsia="Arial" w:hAnsi="Arial"/>
          <w:sz w:val="19"/>
          <w:szCs w:val="19"/>
          <w:color w:val="auto"/>
        </w:rPr>
        <w:t xml:space="preserve"> addresses a significant unmet medical need in the pediatric oncology community, and we expect to continue building upon our commercial momentum through expanding the prescriber base and increasing the utilization of the earlier endorsement from the NCCN for PEDMARK</w:t>
      </w:r>
      <w:r>
        <w:rPr>
          <w:rFonts w:ascii="Arial" w:cs="Arial" w:eastAsia="Arial" w:hAnsi="Arial"/>
          <w:sz w:val="28"/>
          <w:szCs w:val="28"/>
          <w:color w:val="auto"/>
          <w:vertAlign w:val="superscript"/>
        </w:rPr>
        <w:t>®</w:t>
      </w:r>
      <w:r>
        <w:rPr>
          <w:rFonts w:ascii="Arial" w:cs="Arial" w:eastAsia="Arial" w:hAnsi="Arial"/>
          <w:sz w:val="19"/>
          <w:szCs w:val="19"/>
          <w:color w:val="auto"/>
        </w:rPr>
        <w:t xml:space="preserve"> in the adolescent and young adult (AYA) population,” said Rosty Raykov, chief executive officer of Fennec Pharmaceuticals. “Further, we are pleased with the steady progress that we are making preparing for the launch of PEDMARQSI in Europe, including the recent regulatory approval in the U.K. by the MHRA, as we continue to evaluate the best commercial pathway for the Company in Europe.”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Financial Results for the third Quarter 2023</w:t>
      </w:r>
    </w:p>
    <w:p>
      <w:pPr>
        <w:spacing w:after="0" w:line="229" w:lineRule="exact"/>
        <w:rPr>
          <w:sz w:val="20"/>
          <w:szCs w:val="20"/>
          <w:color w:val="auto"/>
        </w:rPr>
      </w:pPr>
    </w:p>
    <w:p>
      <w:pPr>
        <w:jc w:val="both"/>
        <w:ind w:left="380" w:right="79" w:hanging="330"/>
        <w:spacing w:after="0" w:line="248" w:lineRule="auto"/>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 xml:space="preserve">Net Sales </w:t>
      </w:r>
      <w:r>
        <w:rPr>
          <w:rFonts w:ascii="Arial" w:cs="Arial" w:eastAsia="Arial" w:hAnsi="Arial"/>
          <w:sz w:val="20"/>
          <w:szCs w:val="20"/>
          <w:color w:val="auto"/>
        </w:rPr>
        <w:t>– The company recorded net product sales of $6.5 million in the third quarter of 2023 compared</w:t>
      </w:r>
      <w:r>
        <w:rPr>
          <w:rFonts w:ascii="Arial" w:cs="Arial" w:eastAsia="Arial" w:hAnsi="Arial"/>
          <w:sz w:val="20"/>
          <w:szCs w:val="20"/>
          <w:b w:val="1"/>
          <w:bCs w:val="1"/>
          <w:color w:val="auto"/>
        </w:rPr>
        <w:t xml:space="preserve"> </w:t>
      </w:r>
      <w:r>
        <w:rPr>
          <w:rFonts w:ascii="Arial" w:cs="Arial" w:eastAsia="Arial" w:hAnsi="Arial"/>
          <w:sz w:val="20"/>
          <w:szCs w:val="20"/>
          <w:color w:val="auto"/>
        </w:rPr>
        <w:t>to net product sales of $3.3 million in the second quarter of 2023. The Company had gross profit of $6.2 million for the third quarter of 2023. The increase in sales reflects strong growth in new patient starts and account adoption.</w:t>
      </w:r>
    </w:p>
    <w:p>
      <w:pPr>
        <w:spacing w:after="0" w:line="75" w:lineRule="exact"/>
        <w:rPr>
          <w:rFonts w:ascii="Arial" w:cs="Arial" w:eastAsia="Arial" w:hAnsi="Arial"/>
          <w:sz w:val="20"/>
          <w:szCs w:val="20"/>
          <w:color w:val="auto"/>
        </w:rPr>
      </w:pPr>
    </w:p>
    <w:p>
      <w:pPr>
        <w:jc w:val="both"/>
        <w:ind w:left="380" w:right="79" w:hanging="330"/>
        <w:spacing w:after="0" w:line="244" w:lineRule="auto"/>
        <w:tabs>
          <w:tab w:leader="none" w:pos="38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 </w:t>
      </w:r>
      <w:r>
        <w:rPr>
          <w:rFonts w:ascii="Arial" w:cs="Arial" w:eastAsia="Arial" w:hAnsi="Arial"/>
          <w:sz w:val="20"/>
          <w:szCs w:val="20"/>
          <w:color w:val="auto"/>
        </w:rPr>
        <w:t>Cash and cash equivalents were $12.4 million on September 30, 2023. The decrease in</w:t>
      </w:r>
      <w:r>
        <w:rPr>
          <w:rFonts w:ascii="Arial" w:cs="Arial" w:eastAsia="Arial" w:hAnsi="Arial"/>
          <w:sz w:val="20"/>
          <w:szCs w:val="20"/>
          <w:b w:val="1"/>
          <w:bCs w:val="1"/>
          <w:color w:val="auto"/>
        </w:rPr>
        <w:t xml:space="preserve"> </w:t>
      </w:r>
      <w:r>
        <w:rPr>
          <w:rFonts w:ascii="Arial" w:cs="Arial" w:eastAsia="Arial" w:hAnsi="Arial"/>
          <w:sz w:val="20"/>
          <w:szCs w:val="20"/>
          <w:color w:val="auto"/>
        </w:rPr>
        <w:t>cash and cash equivalents between September 30, 2023, and December 31, 2022, is the result of cash outlays for operating expenses related to the promotion and marketing of PEDMARK® and general and administrative expenses, which were offset by cash inflows primarily from product sales. We anticipate that our cash, cash equivalents and investment securities as of September 30, 2023, when coupled with PEDMARK revenue assumptions will be sufficient to fund our planned operations for at least the next twelve months.</w:t>
      </w:r>
    </w:p>
    <w:p>
      <w:pPr>
        <w:spacing w:after="0" w:line="77" w:lineRule="exact"/>
        <w:rPr>
          <w:rFonts w:ascii="Arial" w:cs="Arial" w:eastAsia="Arial" w:hAnsi="Arial"/>
          <w:sz w:val="20"/>
          <w:szCs w:val="20"/>
          <w:color w:val="auto"/>
        </w:rPr>
      </w:pPr>
    </w:p>
    <w:p>
      <w:pPr>
        <w:jc w:val="both"/>
        <w:ind w:left="380" w:right="79" w:hanging="330"/>
        <w:spacing w:after="0" w:line="238" w:lineRule="auto"/>
        <w:tabs>
          <w:tab w:leader="none" w:pos="380"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 Research and development expenses decreased by $0.8</w:t>
      </w:r>
      <w:r>
        <w:rPr>
          <w:rFonts w:ascii="Arial" w:cs="Arial" w:eastAsia="Arial" w:hAnsi="Arial"/>
          <w:sz w:val="19"/>
          <w:szCs w:val="19"/>
          <w:b w:val="1"/>
          <w:bCs w:val="1"/>
          <w:color w:val="auto"/>
        </w:rPr>
        <w:t xml:space="preserve"> </w:t>
      </w:r>
      <w:r>
        <w:rPr>
          <w:rFonts w:ascii="Arial" w:cs="Arial" w:eastAsia="Arial" w:hAnsi="Arial"/>
          <w:sz w:val="19"/>
          <w:szCs w:val="19"/>
          <w:color w:val="auto"/>
        </w:rPr>
        <w:t>million for the three months ended September 30, 2023, compared to the same period in 2022. The Company’s research and development activities for the quarter ended September 30, 2023 consisted of costs associated with investigator initiated clinical trials. During the same period in 2022 and prior to approval of PEDMARK</w:t>
      </w:r>
      <w:r>
        <w:rPr>
          <w:rFonts w:ascii="Arial" w:cs="Arial" w:eastAsia="Arial" w:hAnsi="Arial"/>
          <w:sz w:val="28"/>
          <w:szCs w:val="28"/>
          <w:color w:val="auto"/>
          <w:vertAlign w:val="superscript"/>
        </w:rPr>
        <w:t>®</w:t>
      </w:r>
      <w:r>
        <w:rPr>
          <w:rFonts w:ascii="Arial" w:cs="Arial" w:eastAsia="Arial" w:hAnsi="Arial"/>
          <w:sz w:val="19"/>
          <w:szCs w:val="19"/>
          <w:color w:val="auto"/>
        </w:rPr>
        <w:t>, manufacturing costs pertaining to PEDMARK</w:t>
      </w:r>
      <w:r>
        <w:rPr>
          <w:rFonts w:ascii="Arial" w:cs="Arial" w:eastAsia="Arial" w:hAnsi="Arial"/>
          <w:sz w:val="28"/>
          <w:szCs w:val="28"/>
          <w:color w:val="auto"/>
          <w:vertAlign w:val="superscript"/>
        </w:rPr>
        <w:t>®</w:t>
      </w:r>
      <w:r>
        <w:rPr>
          <w:rFonts w:ascii="Arial" w:cs="Arial" w:eastAsia="Arial" w:hAnsi="Arial"/>
          <w:sz w:val="19"/>
          <w:szCs w:val="19"/>
          <w:color w:val="auto"/>
        </w:rPr>
        <w:t xml:space="preserve"> were allocated to R&amp;D expense in the period incurred, and following approval are reflected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340995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p>
      <w:pPr>
        <w:jc w:val="both"/>
        <w:ind w:left="380" w:right="79" w:hanging="330"/>
        <w:spacing w:after="0" w:line="28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Selling and Marketing Expenses </w:t>
      </w:r>
      <w:r>
        <w:rPr>
          <w:rFonts w:ascii="Arial" w:cs="Arial" w:eastAsia="Arial" w:hAnsi="Arial"/>
          <w:sz w:val="18"/>
          <w:szCs w:val="18"/>
          <w:color w:val="auto"/>
        </w:rPr>
        <w:t>– Selling and marketing expenses include remuneration of our sales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employees, dollars spent on marketing campaigns (sponsorships, trade shows, presentations, etc.), and any activities to support marketing and sales activities. Selling and marketing expenses for the third quarter of 2023 were $3.4 million compared to $2.3 million in the second quarter of 2023 as the Company increased marketing in the U.S. and pre-commercialization activities in Europe.</w:t>
      </w:r>
    </w:p>
    <w:p>
      <w:pPr>
        <w:spacing w:after="0" w:line="169" w:lineRule="exact"/>
        <w:rPr>
          <w:rFonts w:ascii="Arial" w:cs="Arial" w:eastAsia="Arial" w:hAnsi="Arial"/>
          <w:sz w:val="18"/>
          <w:szCs w:val="18"/>
          <w:color w:val="auto"/>
        </w:rPr>
      </w:pPr>
    </w:p>
    <w:p>
      <w:pPr>
        <w:jc w:val="both"/>
        <w:ind w:left="380" w:right="79" w:hanging="330"/>
        <w:spacing w:after="0" w:line="260" w:lineRule="auto"/>
        <w:tabs>
          <w:tab w:leader="none" w:pos="380"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 </w:t>
      </w:r>
      <w:r>
        <w:rPr>
          <w:rFonts w:ascii="Arial" w:cs="Arial" w:eastAsia="Arial" w:hAnsi="Arial"/>
          <w:sz w:val="19"/>
          <w:szCs w:val="19"/>
          <w:color w:val="auto"/>
        </w:rPr>
        <w:t>For the three-month period ended September 30, 2023,</w:t>
      </w:r>
      <w:r>
        <w:rPr>
          <w:rFonts w:ascii="Arial" w:cs="Arial" w:eastAsia="Arial" w:hAnsi="Arial"/>
          <w:sz w:val="19"/>
          <w:szCs w:val="19"/>
          <w:b w:val="1"/>
          <w:bCs w:val="1"/>
          <w:color w:val="auto"/>
        </w:rPr>
        <w:t xml:space="preserve"> </w:t>
      </w:r>
      <w:r>
        <w:rPr>
          <w:rFonts w:ascii="Arial" w:cs="Arial" w:eastAsia="Arial" w:hAnsi="Arial"/>
          <w:sz w:val="19"/>
          <w:szCs w:val="19"/>
          <w:color w:val="auto"/>
        </w:rPr>
        <w:t>G&amp;A expenses decreased by $3.2 million over the same period in 2022. Further, G&amp;A expenses decreased by $1.7 million compared to the second quarter of 2023. The decrease in G&amp;A was primarily because of decreases in non-cash employee remuneration which accounted for $1.0 million of the decrease over same period in 2022. There was a reduction in legal expenses of $0.7 million for the quarter ended September 30, 2023 over the same period in 2022.</w:t>
      </w:r>
    </w:p>
    <w:p>
      <w:pPr>
        <w:spacing w:after="0" w:line="186" w:lineRule="exact"/>
        <w:rPr>
          <w:rFonts w:ascii="Arial" w:cs="Arial" w:eastAsia="Arial" w:hAnsi="Arial"/>
          <w:sz w:val="19"/>
          <w:szCs w:val="19"/>
          <w:color w:val="auto"/>
        </w:rPr>
      </w:pPr>
    </w:p>
    <w:p>
      <w:pPr>
        <w:ind w:left="380" w:right="79" w:hanging="330"/>
        <w:spacing w:after="0" w:line="267" w:lineRule="auto"/>
        <w:tabs>
          <w:tab w:leader="none" w:pos="38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 xml:space="preserve">Net Loss – </w:t>
      </w:r>
      <w:r>
        <w:rPr>
          <w:rFonts w:ascii="Arial" w:cs="Arial" w:eastAsia="Arial" w:hAnsi="Arial"/>
          <w:sz w:val="20"/>
          <w:szCs w:val="20"/>
          <w:color w:val="auto"/>
        </w:rPr>
        <w:t>Net loss for the quarter ended September 30, 2023, was $1.9 million ($0.07 per share),</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$8.1 million ($0.31 per share) for the same period in 2022.</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1D2228"/>
        </w:rPr>
        <w:t>Q3 2023 CONFERENCE CALL INFORMATION</w:t>
      </w: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20"/>
          <w:szCs w:val="20"/>
          <w:color w:val="1D2228"/>
        </w:rPr>
        <w:t>The Company will host a conference call today, November 6, at 8:30 a.m. ET, to discuss the Company’s financial results from the third quarter, ended September 30, 2023, and provide a business outlook for the remainder of 2023.</w:t>
      </w:r>
    </w:p>
    <w:p>
      <w:pPr>
        <w:spacing w:after="0" w:line="14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9"/>
          <w:szCs w:val="19"/>
          <w:color w:val="1D2228"/>
        </w:rPr>
        <w:t xml:space="preserve">To access the conference call, please register at: </w:t>
      </w:r>
      <w:r>
        <w:rPr>
          <w:rFonts w:ascii="Arial" w:cs="Arial" w:eastAsia="Arial" w:hAnsi="Arial"/>
          <w:sz w:val="19"/>
          <w:szCs w:val="19"/>
          <w:color w:val="000000"/>
        </w:rPr>
        <w:t xml:space="preserve">https://register.vevent.com/register/BId73242c7355a46d19e6aa1ff15435b87. </w:t>
      </w:r>
      <w:r>
        <w:rPr>
          <w:rFonts w:ascii="Arial" w:cs="Arial" w:eastAsia="Arial" w:hAnsi="Arial"/>
          <w:sz w:val="19"/>
          <w:szCs w:val="19"/>
          <w:color w:val="1D2228"/>
        </w:rPr>
        <w:t>Upon registration, a dial-in</w:t>
      </w:r>
      <w:r>
        <w:rPr>
          <w:rFonts w:ascii="Arial" w:cs="Arial" w:eastAsia="Arial" w:hAnsi="Arial"/>
          <w:sz w:val="19"/>
          <w:szCs w:val="19"/>
          <w:color w:val="000000"/>
        </w:rPr>
        <w:t xml:space="preserve"> </w:t>
      </w:r>
      <w:r>
        <w:rPr>
          <w:rFonts w:ascii="Arial" w:cs="Arial" w:eastAsia="Arial" w:hAnsi="Arial"/>
          <w:sz w:val="19"/>
          <w:szCs w:val="19"/>
          <w:color w:val="1D2228"/>
        </w:rPr>
        <w:t xml:space="preserve">number and unique PIN will be provided to join the call. To access the live webcast link, log onto </w:t>
      </w:r>
      <w:r>
        <w:rPr>
          <w:rFonts w:ascii="Arial" w:cs="Arial" w:eastAsia="Arial" w:hAnsi="Arial"/>
          <w:sz w:val="19"/>
          <w:szCs w:val="19"/>
          <w:color w:val="000000"/>
        </w:rPr>
        <w:t xml:space="preserve">www.fennepharma.com </w:t>
      </w:r>
      <w:r>
        <w:rPr>
          <w:rFonts w:ascii="Arial" w:cs="Arial" w:eastAsia="Arial" w:hAnsi="Arial"/>
          <w:sz w:val="19"/>
          <w:szCs w:val="19"/>
          <w:color w:val="1D2228"/>
        </w:rPr>
        <w:t>and proceed to the News &amp; Events / Event Calendar page under the Investors &amp; Media</w:t>
      </w:r>
      <w:r>
        <w:rPr>
          <w:rFonts w:ascii="Arial" w:cs="Arial" w:eastAsia="Arial" w:hAnsi="Arial"/>
          <w:sz w:val="19"/>
          <w:szCs w:val="19"/>
          <w:color w:val="000000"/>
        </w:rPr>
        <w:t xml:space="preserve"> </w:t>
      </w:r>
      <w:r>
        <w:rPr>
          <w:rFonts w:ascii="Arial" w:cs="Arial" w:eastAsia="Arial" w:hAnsi="Arial"/>
          <w:sz w:val="19"/>
          <w:szCs w:val="19"/>
          <w:color w:val="1D2228"/>
        </w:rPr>
        <w:t xml:space="preserve">heading. Please connect to the company’s website at least 15 minutes prior to the conference call to ensure adequate time for any software download that may be required to listen to the webcast. A webcast replay of the conference call will also be archived on </w:t>
      </w:r>
      <w:r>
        <w:rPr>
          <w:rFonts w:ascii="Arial" w:cs="Arial" w:eastAsia="Arial" w:hAnsi="Arial"/>
          <w:sz w:val="19"/>
          <w:szCs w:val="19"/>
          <w:color w:val="000000"/>
        </w:rPr>
        <w:t>www.fennecpharma.com</w:t>
      </w:r>
      <w:r>
        <w:rPr>
          <w:rFonts w:ascii="Arial" w:cs="Arial" w:eastAsia="Arial" w:hAnsi="Arial"/>
          <w:sz w:val="19"/>
          <w:szCs w:val="19"/>
          <w:color w:val="1D2228"/>
        </w:rPr>
        <w:t xml:space="preserve"> for thirty days.</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Update</w:t>
      </w:r>
    </w:p>
    <w:p>
      <w:pPr>
        <w:spacing w:after="0" w:line="227" w:lineRule="exact"/>
        <w:rPr>
          <w:sz w:val="20"/>
          <w:szCs w:val="20"/>
          <w:color w:val="auto"/>
        </w:rPr>
      </w:pPr>
    </w:p>
    <w:p>
      <w:pPr>
        <w:jc w:val="both"/>
        <w:ind w:left="60" w:right="59"/>
        <w:spacing w:after="0" w:line="278" w:lineRule="auto"/>
        <w:rPr>
          <w:sz w:val="20"/>
          <w:szCs w:val="20"/>
          <w:color w:val="auto"/>
        </w:rPr>
      </w:pPr>
      <w:r>
        <w:rPr>
          <w:rFonts w:ascii="Arial" w:cs="Arial" w:eastAsia="Arial" w:hAnsi="Arial"/>
          <w:sz w:val="18"/>
          <w:szCs w:val="18"/>
          <w:color w:val="auto"/>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September 30, 2023, and management's discussion and analysis of financial condition and results of operations will be available via www.sec.gov and www.sedar.com</w:t>
      </w:r>
      <w:r>
        <w:rPr>
          <w:rFonts w:ascii="Arial" w:cs="Arial" w:eastAsia="Arial" w:hAnsi="Arial"/>
          <w:sz w:val="18"/>
          <w:szCs w:val="18"/>
          <w:color w:val="1F497D"/>
        </w:rPr>
        <w:t>.</w:t>
      </w:r>
      <w:r>
        <w:rPr>
          <w:rFonts w:ascii="Arial" w:cs="Arial" w:eastAsia="Arial" w:hAnsi="Arial"/>
          <w:sz w:val="18"/>
          <w:szCs w:val="18"/>
          <w:color w:val="auto"/>
        </w:rPr>
        <w:t xml:space="preserve"> All values are presented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 except share and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6200" w:type="dxa"/>
            <w:vAlign w:val="bottom"/>
          </w:tcPr>
          <w:p>
            <w:pPr>
              <w:spacing w:after="0"/>
              <w:rPr>
                <w:sz w:val="16"/>
                <w:szCs w:val="16"/>
                <w:color w:val="auto"/>
              </w:rPr>
            </w:pPr>
          </w:p>
        </w:tc>
        <w:tc>
          <w:tcPr>
            <w:tcW w:w="13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6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2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PEDMARK product sales, net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6,515</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6,184</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846</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3,384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3,805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7,053</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7,201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7,899</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(1,017)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(7,899)</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foreign exchange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Amortization expense</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102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(856)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(119)</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(expense)/income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(850)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(190)</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(1,867)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(8,089)</w:t>
            </w:r>
          </w:p>
        </w:tc>
        <w:tc>
          <w:tcPr>
            <w:tcW w:w="2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(0.07)</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3"/>
              </w:rPr>
              <w:t>(0.31)</w:t>
            </w:r>
          </w:p>
        </w:tc>
        <w:tc>
          <w:tcPr>
            <w:tcW w:w="2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Diluted net loss per common share</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(0.07)</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(0.31)</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 basic</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26,458</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26,108</w:t>
            </w:r>
          </w:p>
        </w:tc>
        <w:tc>
          <w:tcPr>
            <w:tcW w:w="2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Weighted-average number of common shares outstanding diluted</w:t>
            </w: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26,458</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26,108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6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Fennec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and shares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Unaudited</w:t>
            </w:r>
          </w:p>
        </w:tc>
        <w:tc>
          <w:tcPr>
            <w:tcW w:w="14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65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12,399</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23,774</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20" w:type="dxa"/>
            <w:vAlign w:val="bottom"/>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issuance cost, net amortization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4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26,939</w:t>
            </w:r>
          </w:p>
        </w:tc>
        <w:tc>
          <w:tcPr>
            <w:tcW w:w="20" w:type="dxa"/>
            <w:vAlign w:val="bottom"/>
          </w:tcPr>
          <w:p>
            <w:pPr>
              <w:spacing w:after="0"/>
              <w:rPr>
                <w:sz w:val="21"/>
                <w:szCs w:val="21"/>
                <w:color w:val="auto"/>
              </w:rPr>
            </w:pPr>
          </w:p>
        </w:tc>
      </w:tr>
      <w:tr>
        <w:trPr>
          <w:trHeight w:val="197"/>
        </w:trPr>
        <w:tc>
          <w:tcPr>
            <w:tcW w:w="6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(deficit)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lease liability</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PIK interest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discount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 liability - net of current portion</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24,899</w:t>
            </w:r>
          </w:p>
        </w:tc>
        <w:tc>
          <w:tcPr>
            <w:tcW w:w="20" w:type="dxa"/>
            <w:vAlign w:val="bottom"/>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29,508</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Shareholders’(deficit)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6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Common stock, no par value; unlimited shares authorized; 26,411 shares issued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52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 xml:space="preserve">outstanding (2022 </w:t>
            </w:r>
            <w:r>
              <w:rPr>
                <w:rFonts w:ascii="MS PGothic" w:cs="MS PGothic" w:eastAsia="MS PGothic" w:hAnsi="MS PGothic"/>
                <w:sz w:val="18"/>
                <w:szCs w:val="18"/>
                <w:color w:val="auto"/>
              </w:rPr>
              <w:t>‑</w:t>
            </w:r>
            <w:r>
              <w:rPr>
                <w:rFonts w:ascii="Arial" w:cs="Arial" w:eastAsia="Arial" w:hAnsi="Arial"/>
                <w:sz w:val="18"/>
                <w:szCs w:val="18"/>
                <w:color w:val="auto"/>
              </w:rPr>
              <w:t>26,361)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142,591</w:t>
            </w:r>
          </w:p>
        </w:tc>
        <w:tc>
          <w:tcPr>
            <w:tcW w:w="20" w:type="dxa"/>
            <w:vAlign w:val="bottom"/>
          </w:tcPr>
          <w:p>
            <w:pPr>
              <w:spacing w:after="0"/>
              <w:rPr>
                <w:sz w:val="20"/>
                <w:szCs w:val="20"/>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56,797</w:t>
            </w:r>
          </w:p>
        </w:tc>
        <w:tc>
          <w:tcPr>
            <w:tcW w:w="2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(216,563)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(203,200)</w:t>
            </w:r>
          </w:p>
        </w:tc>
        <w:tc>
          <w:tcPr>
            <w:tcW w:w="2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(deficit) equity</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26,939</w:t>
            </w:r>
          </w:p>
        </w:tc>
        <w:tc>
          <w:tcPr>
            <w:tcW w:w="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03"/>
        </w:trPr>
        <w:tc>
          <w:tcPr>
            <w:tcW w:w="6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1" w:right="1440" w:bottom="1440" w:gutter="0" w:footer="0" w:header="0"/>
        </w:sectPr>
      </w:pPr>
    </w:p>
    <w:bookmarkStart w:id="38" w:name="page39"/>
    <w:bookmarkEnd w:id="3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Working capital</w:t>
            </w:r>
          </w:p>
        </w:tc>
        <w:tc>
          <w:tcPr>
            <w:tcW w:w="120" w:type="dxa"/>
            <w:vAlign w:val="bottom"/>
          </w:tcPr>
          <w:p>
            <w:pPr>
              <w:spacing w:after="0"/>
              <w:rPr>
                <w:sz w:val="24"/>
                <w:szCs w:val="24"/>
                <w:color w:val="auto"/>
              </w:rPr>
            </w:pPr>
          </w:p>
        </w:tc>
        <w:tc>
          <w:tcPr>
            <w:tcW w:w="34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Fiscal Period Ended</w:t>
            </w:r>
          </w:p>
        </w:tc>
      </w:tr>
      <w:tr>
        <w:trPr>
          <w:trHeight w:val="223"/>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Selected Asset and Liability Data:</w:t>
            </w:r>
          </w:p>
        </w:tc>
        <w:tc>
          <w:tcPr>
            <w:tcW w:w="1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December 31, 2022</w:t>
            </w:r>
          </w:p>
        </w:tc>
        <w:tc>
          <w:tcPr>
            <w:tcW w:w="20" w:type="dxa"/>
            <w:vAlign w:val="bottom"/>
          </w:tcPr>
          <w:p>
            <w:pPr>
              <w:spacing w:after="0"/>
              <w:rPr>
                <w:sz w:val="19"/>
                <w:szCs w:val="19"/>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Dollars in thousands)</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12,399</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23,774</w:t>
            </w:r>
          </w:p>
        </w:tc>
        <w:tc>
          <w:tcPr>
            <w:tcW w:w="20" w:type="dxa"/>
            <w:vAlign w:val="bottom"/>
          </w:tcPr>
          <w:p>
            <w:pPr>
              <w:spacing w:after="0"/>
              <w:rPr>
                <w:sz w:val="21"/>
                <w:szCs w:val="21"/>
                <w:color w:val="auto"/>
              </w:rPr>
            </w:pPr>
          </w:p>
        </w:tc>
      </w:tr>
      <w:tr>
        <w:trPr>
          <w:trHeight w:val="24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20" w:type="dxa"/>
            <w:vAlign w:val="bottom"/>
          </w:tcPr>
          <w:p>
            <w:pPr>
              <w:spacing w:after="0"/>
              <w:rPr>
                <w:sz w:val="21"/>
                <w:szCs w:val="21"/>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(4,608)</w:t>
            </w:r>
          </w:p>
        </w:tc>
      </w:tr>
      <w:tr>
        <w:trPr>
          <w:trHeight w:val="210"/>
        </w:trPr>
        <w:tc>
          <w:tcPr>
            <w:tcW w:w="5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w:t>
            </w:r>
          </w:p>
        </w:tc>
        <w:tc>
          <w:tcPr>
            <w:tcW w:w="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Selected Equity:</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and additional paid in capital</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199,388</w:t>
            </w:r>
          </w:p>
        </w:tc>
        <w:tc>
          <w:tcPr>
            <w:tcW w:w="20" w:type="dxa"/>
            <w:vAlign w:val="bottom"/>
          </w:tcPr>
          <w:p>
            <w:pPr>
              <w:spacing w:after="0"/>
              <w:rPr>
                <w:sz w:val="21"/>
                <w:szCs w:val="21"/>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(216,563)</w:t>
            </w:r>
          </w:p>
        </w:tc>
        <w:tc>
          <w:tcPr>
            <w:tcW w:w="10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(203,200)</w:t>
            </w:r>
          </w:p>
        </w:tc>
      </w:tr>
      <w:tr>
        <w:trPr>
          <w:trHeight w:val="24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(deficit) equity</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20" w:type="dxa"/>
            <w:vAlign w:val="bottom"/>
          </w:tcPr>
          <w:p>
            <w:pPr>
              <w:spacing w:after="0"/>
              <w:rPr>
                <w:sz w:val="21"/>
                <w:szCs w:val="2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Cisplatin-Induced Ototoxicity</w:t>
      </w:r>
    </w:p>
    <w:p>
      <w:pPr>
        <w:spacing w:after="0" w:line="22"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9"/>
          <w:szCs w:val="19"/>
          <w:color w:val="auto"/>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r>
        <w:rPr>
          <w:rFonts w:ascii="Arial" w:cs="Arial" w:eastAsia="Arial" w:hAnsi="Arial"/>
          <w:sz w:val="28"/>
          <w:szCs w:val="28"/>
          <w:u w:val="single" w:color="auto"/>
          <w:color w:val="0000EE"/>
          <w:vertAlign w:val="superscript"/>
        </w:rPr>
        <w:t>i</w:t>
      </w:r>
    </w:p>
    <w:p>
      <w:pPr>
        <w:spacing w:after="0" w:line="49"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9"/>
          <w:szCs w:val="19"/>
          <w:color w:val="auto"/>
        </w:rPr>
        <w:t>The incidence of ototoxicity depends upon the dose and duration of chemotherapy, and many of these children require lifelong hearing aids or cochlear implants, which can be helpful for some, but do not reverse the hearing loss and can be costly over time.</w:t>
      </w:r>
      <w:r>
        <w:rPr>
          <w:rFonts w:ascii="Arial" w:cs="Arial" w:eastAsia="Arial" w:hAnsi="Arial"/>
          <w:sz w:val="28"/>
          <w:szCs w:val="28"/>
          <w:u w:val="single" w:color="auto"/>
          <w:color w:val="0000EE"/>
          <w:vertAlign w:val="superscript"/>
        </w:rPr>
        <w:t>ii</w:t>
      </w:r>
      <w:r>
        <w:rPr>
          <w:rFonts w:ascii="Arial" w:cs="Arial" w:eastAsia="Arial" w:hAnsi="Arial"/>
          <w:sz w:val="19"/>
          <w:szCs w:val="19"/>
          <w:color w:val="auto"/>
        </w:rPr>
        <w:t xml:space="preserve"> </w:t>
      </w:r>
      <w:r>
        <w:rPr>
          <w:rFonts w:ascii="Arial" w:cs="Arial" w:eastAsia="Arial" w:hAnsi="Arial"/>
          <w:sz w:val="19"/>
          <w:szCs w:val="19"/>
          <w:color w:val="auto"/>
          <w:highlight w:val="white"/>
        </w:rPr>
        <w:t>Infants and young children that are affected by ototoxicity at critical stages of</w:t>
      </w:r>
      <w:r>
        <w:rPr>
          <w:rFonts w:ascii="Arial" w:cs="Arial" w:eastAsia="Arial" w:hAnsi="Arial"/>
          <w:sz w:val="19"/>
          <w:szCs w:val="19"/>
          <w:color w:val="auto"/>
        </w:rPr>
        <w:t xml:space="preserve"> development lack speech and language development and literacy, and older children and adolescents often lack social-emotional development and educational achievement.</w:t>
      </w:r>
      <w:r>
        <w:rPr>
          <w:rFonts w:ascii="Arial" w:cs="Arial" w:eastAsia="Arial" w:hAnsi="Arial"/>
          <w:sz w:val="28"/>
          <w:szCs w:val="28"/>
          <w:u w:val="single" w:color="auto"/>
          <w:color w:val="0000EE"/>
          <w:vertAlign w:val="superscript"/>
        </w:rPr>
        <w:t>iii</w:t>
      </w:r>
    </w:p>
    <w:p>
      <w:pPr>
        <w:spacing w:after="0" w:line="7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PEDMARK® (sodium thiosulfate injection)</w:t>
      </w:r>
    </w:p>
    <w:p>
      <w:pPr>
        <w:spacing w:after="0" w:line="22"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9"/>
          <w:szCs w:val="19"/>
          <w:color w:val="auto"/>
        </w:rPr>
        <w:t>PEDMARK</w:t>
      </w:r>
      <w:r>
        <w:rPr>
          <w:rFonts w:ascii="Arial" w:cs="Arial" w:eastAsia="Arial" w:hAnsi="Arial"/>
          <w:sz w:val="28"/>
          <w:szCs w:val="28"/>
          <w:color w:val="auto"/>
          <w:vertAlign w:val="superscript"/>
        </w:rPr>
        <w:t>®</w:t>
      </w:r>
      <w:r>
        <w:rPr>
          <w:rFonts w:ascii="Arial" w:cs="Arial" w:eastAsia="Arial" w:hAnsi="Arial"/>
          <w:sz w:val="19"/>
          <w:szCs w:val="19"/>
          <w:color w:val="auto"/>
        </w:rPr>
        <w:t xml:space="preserve"> is the first and only U.S. Food and Drug Administration (FDA) approved therapy indicated to reduce the risk of ototoxicity associated with cisplatin treatment in pediatric patients with localized, non-metastatic, solid tumors. It is a unique formulation of sodium thiosulfate in single-dose, ready-to-use vials for intravenous use in pediatric patients. PEDMARK is also the only therapeutic agent with proven efficacy and safety data with an established dosing paradigm, across two open-label, randomized Phase 3 clinical studies, the Clinical Oncology Group (COG) Protocol ACCL0431 and SIOPEL 6.</w:t>
      </w:r>
    </w:p>
    <w:p>
      <w:pPr>
        <w:spacing w:after="0" w:line="21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9"/>
          <w:szCs w:val="19"/>
          <w:color w:val="auto"/>
        </w:rPr>
        <w:t>In the U.S. and Europe, it is estimated that, annually, more than 10,000 children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20"/>
          <w:szCs w:val="20"/>
          <w:color w:val="auto"/>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486410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20"/>
          <w:szCs w:val="20"/>
          <w:b w:val="1"/>
          <w:bCs w:val="1"/>
          <w:color w:val="auto"/>
        </w:rPr>
        <w:t>Indications and Usage</w:t>
      </w:r>
    </w:p>
    <w:p>
      <w:pPr>
        <w:spacing w:after="0" w:line="2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9"/>
          <w:szCs w:val="19"/>
          <w:color w:val="auto"/>
        </w:rPr>
        <w:t>PEDMARK® (sodium thiosulfate injection) is indicated to reduce the risk of ototoxicity associated with cisplatin in pediatric patients 1 month of age and older with localized, non-metastatic solid tumors.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Limitations of Use</w:t>
      </w:r>
    </w:p>
    <w:p>
      <w:pPr>
        <w:spacing w:after="0" w:line="22"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9"/>
          <w:szCs w:val="19"/>
          <w:color w:val="auto"/>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Important Safety Information</w:t>
      </w:r>
    </w:p>
    <w:p>
      <w:pPr>
        <w:spacing w:after="0" w:line="22"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20"/>
          <w:szCs w:val="20"/>
          <w:color w:val="auto"/>
        </w:rPr>
        <w:t>PEDMARK is contraindicated in patients with history of a severe hypersensitivity to sodium thiosulfate or any of its components.</w:t>
      </w:r>
    </w:p>
    <w:p>
      <w:pPr>
        <w:spacing w:after="0" w:line="20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9"/>
          <w:szCs w:val="19"/>
          <w:color w:val="auto"/>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spacing w:after="0" w:line="192"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20"/>
          <w:szCs w:val="20"/>
          <w:color w:val="auto"/>
        </w:rPr>
        <w:t>PEDMARK is not indicated for use in pediatric patients less than 1 month of age due to the increased risk of hypernatremia or in pediatric patients with metastatic cancers.</w:t>
      </w:r>
    </w:p>
    <w:p>
      <w:pPr>
        <w:spacing w:after="0" w:line="19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20"/>
          <w:szCs w:val="20"/>
          <w:color w:val="auto"/>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spacing w:after="0" w:line="205"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20"/>
          <w:szCs w:val="20"/>
          <w:color w:val="auto"/>
        </w:rPr>
        <w:t>Monitor for signs and symptoms of hypernatremia and hypokalemia more closely if the glomerular filtration rate (GFR) falls below 60 mL/min/1.73m</w:t>
      </w:r>
      <w:r>
        <w:rPr>
          <w:rFonts w:ascii="Arial" w:cs="Arial" w:eastAsia="Arial" w:hAnsi="Arial"/>
          <w:sz w:val="29"/>
          <w:szCs w:val="29"/>
          <w:color w:val="auto"/>
          <w:vertAlign w:val="superscript"/>
        </w:rPr>
        <w:t>2</w:t>
      </w:r>
      <w:r>
        <w:rPr>
          <w:rFonts w:ascii="Arial" w:cs="Arial" w:eastAsia="Arial" w:hAnsi="Arial"/>
          <w:sz w:val="20"/>
          <w:szCs w:val="20"/>
          <w:color w:val="auto"/>
        </w:rPr>
        <w:t>.</w:t>
      </w:r>
    </w:p>
    <w:p>
      <w:pPr>
        <w:spacing w:after="0" w:line="24"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20"/>
          <w:szCs w:val="20"/>
          <w:color w:val="auto"/>
        </w:rPr>
        <w:t>Administer antiemetics prior to each PEDMARK administration. Provide additional antiemetics and supportive care as appropriate.</w:t>
      </w:r>
    </w:p>
    <w:p>
      <w:pPr>
        <w:spacing w:after="0" w:line="19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20"/>
          <w:szCs w:val="20"/>
          <w:color w:val="auto"/>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20"/>
          <w:szCs w:val="20"/>
          <w:color w:val="auto"/>
        </w:rPr>
        <w:t>Please see full Prescribing Information for PEDMARK® at: www.PEDMARK.com.</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About Fennec Pharmaceuticals</w:t>
      </w:r>
    </w:p>
    <w:p>
      <w:pPr>
        <w:spacing w:after="0" w:line="22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color w:val="auto"/>
        </w:rPr>
        <w:t>Fennec Pharmaceuticals Inc. is a specialty pharmaceutical company focused on the development and commercialization of PEDMARK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Pedmarqsi</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to reduce the risk of platinum-induced ototoxicity in pediatric patients. Further, PEDMARK received FDA approval in September 2022 and European Commission Marketing Authorization in June 2023 for Pedmarqsi. PEDMARK has received Orphan Drug Exclusivity in the U.S. for seven years of market protection and Pedmarqsi has received Pediatric Use Marketing Authorization in Europe which includes eight years plus two years of data and market protection. Fennec has a license agreement with Oregon Health and Science University (OHSU) for exclusive worldwide license rights to intellectual property directed to sodium thiosulfate and its use for chemoprotection, including the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335280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40" w:name="page41"/>
    <w:bookmarkEnd w:id="40"/>
    <w:p>
      <w:pPr>
        <w:jc w:val="both"/>
        <w:ind w:left="60" w:right="79"/>
        <w:spacing w:after="0" w:line="261" w:lineRule="auto"/>
        <w:rPr>
          <w:sz w:val="20"/>
          <w:szCs w:val="20"/>
          <w:color w:val="auto"/>
        </w:rPr>
      </w:pPr>
      <w:r>
        <w:rPr>
          <w:rFonts w:ascii="Arial" w:cs="Arial" w:eastAsia="Arial" w:hAnsi="Arial"/>
          <w:sz w:val="20"/>
          <w:szCs w:val="20"/>
          <w:color w:val="auto"/>
        </w:rPr>
        <w:t>of risk of ototoxicity induced by platinum chemotherapy, in humans. For more information, please visit www.fennecpharma.com.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Forward Looking Statements</w:t>
      </w:r>
    </w:p>
    <w:p>
      <w:pPr>
        <w:spacing w:after="0" w:line="22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9"/>
          <w:szCs w:val="19"/>
          <w:i w:val="1"/>
          <w:iCs w:val="1"/>
          <w:color w:val="auto"/>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 the market opportunity for and market impact of PEDMARK®, its potential impact on patients and anticipated benefits associated with its use, 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2022. Fennec disclaims any obligation to update these forward-looking statements except as required by law.</w:t>
      </w:r>
    </w:p>
    <w:p>
      <w:pPr>
        <w:spacing w:after="0" w:line="211"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20"/>
          <w:szCs w:val="20"/>
          <w:i w:val="1"/>
          <w:iCs w:val="1"/>
          <w:color w:val="auto"/>
        </w:rPr>
        <w:t>For a more detailed discussion of related risk factors, please refer to our public filings available at www.sec.gov and www.sedar.com.</w:t>
      </w:r>
    </w:p>
    <w:p>
      <w:pPr>
        <w:spacing w:after="0" w:line="150" w:lineRule="exact"/>
        <w:rPr>
          <w:sz w:val="20"/>
          <w:szCs w:val="20"/>
          <w:color w:val="auto"/>
        </w:rPr>
      </w:pPr>
    </w:p>
    <w:p>
      <w:pPr>
        <w:ind w:left="60" w:right="2239"/>
        <w:spacing w:after="0" w:line="359" w:lineRule="auto"/>
        <w:rPr>
          <w:sz w:val="20"/>
          <w:szCs w:val="20"/>
          <w:color w:val="auto"/>
        </w:rPr>
      </w:pPr>
      <w:r>
        <w:rPr>
          <w:rFonts w:ascii="Arial" w:cs="Arial" w:eastAsia="Arial" w:hAnsi="Arial"/>
          <w:sz w:val="20"/>
          <w:szCs w:val="20"/>
          <w:color w:val="auto"/>
        </w:rPr>
        <w:t>PEDMARK</w:t>
      </w:r>
      <w:r>
        <w:rPr>
          <w:rFonts w:ascii="Arial" w:cs="Arial" w:eastAsia="Arial" w:hAnsi="Arial"/>
          <w:sz w:val="29"/>
          <w:szCs w:val="29"/>
          <w:color w:val="auto"/>
          <w:vertAlign w:val="superscript"/>
        </w:rPr>
        <w:t>®</w:t>
      </w:r>
      <w:r>
        <w:rPr>
          <w:rFonts w:ascii="Arial" w:cs="Arial" w:eastAsia="Arial" w:hAnsi="Arial"/>
          <w:sz w:val="20"/>
          <w:szCs w:val="20"/>
          <w:color w:val="auto"/>
        </w:rPr>
        <w:t xml:space="preserve"> and Fennec</w:t>
      </w:r>
      <w:r>
        <w:rPr>
          <w:rFonts w:ascii="Arial" w:cs="Arial" w:eastAsia="Arial" w:hAnsi="Arial"/>
          <w:sz w:val="29"/>
          <w:szCs w:val="29"/>
          <w:color w:val="auto"/>
          <w:vertAlign w:val="superscript"/>
        </w:rPr>
        <w:t>®</w:t>
      </w:r>
      <w:r>
        <w:rPr>
          <w:rFonts w:ascii="Arial" w:cs="Arial" w:eastAsia="Arial" w:hAnsi="Arial"/>
          <w:sz w:val="20"/>
          <w:szCs w:val="20"/>
          <w:color w:val="auto"/>
        </w:rPr>
        <w:t xml:space="preserve"> are registered trademarks of Fennec Pharmaceuticals Inc. ©2023 Fennec Pharmaceuticals Inc. All rights reserved. </w:t>
      </w:r>
      <w:r>
        <w:rPr>
          <w:rFonts w:ascii="Arial" w:cs="Arial" w:eastAsia="Arial" w:hAnsi="Arial"/>
          <w:sz w:val="20"/>
          <w:szCs w:val="20"/>
          <w:b w:val="1"/>
          <w:bCs w:val="1"/>
          <w:color w:val="auto"/>
        </w:rPr>
        <w:t>For further information, please contact:</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Investors</w:t>
      </w:r>
      <w:r>
        <w:rPr>
          <w:rFonts w:ascii="Arial" w:cs="Arial" w:eastAsia="Arial" w:hAnsi="Arial"/>
          <w:sz w:val="20"/>
          <w:szCs w:val="20"/>
          <w:color w:val="auto"/>
        </w:rPr>
        <w: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0"/>
          <w:szCs w:val="20"/>
          <w:color w:val="auto"/>
        </w:rPr>
        <w:t>Robert Andrade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Financial Officer</w:t>
      </w:r>
    </w:p>
    <w:p>
      <w:pPr>
        <w:ind w:left="60"/>
        <w:spacing w:after="0"/>
        <w:rPr>
          <w:sz w:val="20"/>
          <w:szCs w:val="20"/>
          <w:color w:val="auto"/>
        </w:rPr>
      </w:pPr>
      <w:r>
        <w:rPr>
          <w:rFonts w:ascii="Arial" w:cs="Arial" w:eastAsia="Arial" w:hAnsi="Arial"/>
          <w:sz w:val="20"/>
          <w:szCs w:val="20"/>
          <w:color w:val="auto"/>
        </w:rPr>
        <w:t>Fennec Pharmaceuticals Inc.</w:t>
      </w:r>
    </w:p>
    <w:p>
      <w:pPr>
        <w:ind w:left="60"/>
        <w:spacing w:after="0"/>
        <w:rPr>
          <w:sz w:val="20"/>
          <w:szCs w:val="20"/>
          <w:color w:val="auto"/>
        </w:rPr>
      </w:pPr>
      <w:r>
        <w:rPr>
          <w:rFonts w:ascii="Arial" w:cs="Arial" w:eastAsia="Arial" w:hAnsi="Arial"/>
          <w:sz w:val="20"/>
          <w:szCs w:val="20"/>
          <w:color w:val="auto"/>
        </w:rPr>
        <w:t>(919) 246-5299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Media</w:t>
      </w:r>
      <w:r>
        <w:rPr>
          <w:rFonts w:ascii="Arial" w:cs="Arial" w:eastAsia="Arial" w:hAnsi="Arial"/>
          <w:sz w:val="20"/>
          <w:szCs w:val="20"/>
          <w:color w:val="auto"/>
        </w:rPr>
        <w: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0"/>
          <w:szCs w:val="20"/>
          <w:color w:val="auto"/>
        </w:rPr>
        <w:t>Elixir Health Public Relations</w:t>
      </w:r>
    </w:p>
    <w:p>
      <w:pPr>
        <w:ind w:left="60"/>
        <w:spacing w:after="0"/>
        <w:rPr>
          <w:sz w:val="20"/>
          <w:szCs w:val="20"/>
          <w:color w:val="auto"/>
        </w:rPr>
      </w:pPr>
      <w:r>
        <w:rPr>
          <w:rFonts w:ascii="Arial" w:cs="Arial" w:eastAsia="Arial" w:hAnsi="Arial"/>
          <w:sz w:val="20"/>
          <w:szCs w:val="20"/>
          <w:color w:val="auto"/>
        </w:rPr>
        <w:t>Lindsay Rocco</w:t>
      </w:r>
    </w:p>
    <w:p>
      <w:pPr>
        <w:ind w:left="60" w:right="6839" w:hanging="10"/>
        <w:spacing w:after="0" w:line="297" w:lineRule="auto"/>
        <w:tabs>
          <w:tab w:leader="none" w:pos="5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596-1304 lrocco@elixirhealthpr.com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138430</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1" w:lineRule="exact"/>
        <w:rPr>
          <w:sz w:val="20"/>
          <w:szCs w:val="20"/>
          <w:color w:val="auto"/>
        </w:rPr>
      </w:pPr>
    </w:p>
    <w:p>
      <w:pPr>
        <w:ind w:left="60" w:right="59" w:hanging="10"/>
        <w:spacing w:after="0" w:line="207" w:lineRule="auto"/>
        <w:tabs>
          <w:tab w:leader="none" w:pos="142"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Rybak L. Mechanisms of Cisplatin Ototoxicity and Progress in Otoprotection. Current Opinion in Otolaryngology &amp; Head and Neck Surgery. 2007, Vol. 15: 364-369.</w:t>
      </w:r>
    </w:p>
    <w:p>
      <w:pPr>
        <w:ind w:left="60"/>
        <w:spacing w:after="0" w:line="181" w:lineRule="auto"/>
        <w:rPr>
          <w:rFonts w:ascii="Arial" w:cs="Arial" w:eastAsia="Arial" w:hAnsi="Arial"/>
          <w:sz w:val="27"/>
          <w:szCs w:val="27"/>
          <w:color w:val="auto"/>
          <w:vertAlign w:val="superscript"/>
        </w:rPr>
      </w:pPr>
      <w:r>
        <w:rPr>
          <w:rFonts w:ascii="Arial" w:cs="Arial" w:eastAsia="Arial" w:hAnsi="Arial"/>
          <w:sz w:val="25"/>
          <w:szCs w:val="25"/>
          <w:color w:val="auto"/>
          <w:vertAlign w:val="superscript"/>
        </w:rPr>
        <w:t>ii</w:t>
      </w:r>
      <w:r>
        <w:rPr>
          <w:rFonts w:ascii="Arial" w:cs="Arial" w:eastAsia="Arial" w:hAnsi="Arial"/>
          <w:sz w:val="17"/>
          <w:szCs w:val="17"/>
          <w:color w:val="auto"/>
        </w:rPr>
        <w:t xml:space="preserve"> Landier W. Ototoxicity and Cancer Therapy. </w:t>
      </w:r>
      <w:r>
        <w:rPr>
          <w:rFonts w:ascii="Arial" w:cs="Arial" w:eastAsia="Arial" w:hAnsi="Arial"/>
          <w:sz w:val="17"/>
          <w:szCs w:val="17"/>
          <w:i w:val="1"/>
          <w:iCs w:val="1"/>
          <w:color w:val="auto"/>
        </w:rPr>
        <w:t>Cancer</w:t>
      </w:r>
      <w:r>
        <w:rPr>
          <w:rFonts w:ascii="Arial" w:cs="Arial" w:eastAsia="Arial" w:hAnsi="Arial"/>
          <w:sz w:val="17"/>
          <w:szCs w:val="17"/>
          <w:color w:val="auto"/>
        </w:rPr>
        <w:t>. June 2016 Vol. 122, No.11: 1647-1658.</w:t>
      </w:r>
    </w:p>
    <w:p>
      <w:pPr>
        <w:ind w:left="60" w:right="79"/>
        <w:spacing w:after="0" w:line="230" w:lineRule="auto"/>
        <w:rPr>
          <w:rFonts w:ascii="Arial" w:cs="Arial" w:eastAsia="Arial" w:hAnsi="Arial"/>
          <w:sz w:val="27"/>
          <w:szCs w:val="27"/>
          <w:color w:val="auto"/>
          <w:vertAlign w:val="superscript"/>
        </w:rPr>
      </w:pPr>
      <w:r>
        <w:rPr>
          <w:rFonts w:ascii="Arial" w:cs="Arial" w:eastAsia="Arial" w:hAnsi="Arial"/>
          <w:sz w:val="23"/>
          <w:szCs w:val="23"/>
          <w:color w:val="auto"/>
          <w:vertAlign w:val="superscript"/>
        </w:rPr>
        <w:t>iii</w:t>
      </w:r>
      <w:r>
        <w:rPr>
          <w:rFonts w:ascii="Arial" w:cs="Arial" w:eastAsia="Arial" w:hAnsi="Arial"/>
          <w:sz w:val="16"/>
          <w:szCs w:val="16"/>
          <w:color w:val="auto"/>
        </w:rPr>
        <w:t xml:space="preserve"> Bass JK, Knight KR, Yock TI, et al. Evaluation and Management of Hearing Loss in Survivors of Childhood and Adolescent Cancers: A Report from the Children's Oncology Group. </w:t>
      </w:r>
      <w:r>
        <w:rPr>
          <w:rFonts w:ascii="Arial" w:cs="Arial" w:eastAsia="Arial" w:hAnsi="Arial"/>
          <w:sz w:val="16"/>
          <w:szCs w:val="16"/>
          <w:i w:val="1"/>
          <w:iCs w:val="1"/>
          <w:color w:val="auto"/>
        </w:rPr>
        <w:t>Pediatric Blood &amp; Cancer</w:t>
      </w:r>
      <w:r>
        <w:rPr>
          <w:rFonts w:ascii="Arial" w:cs="Arial" w:eastAsia="Arial" w:hAnsi="Arial"/>
          <w:sz w:val="16"/>
          <w:szCs w:val="16"/>
          <w:color w:val="auto"/>
        </w:rPr>
        <w:t>. 2016 Jul;63(7):1152-1162.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343535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1"/>
      <w:numFmt w:val="decimal"/>
      <w:start w:val="104"/>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862"/>
    </w:lvl>
  </w:abstractNum>
  <w:abstractNum w:abstractNumId="20">
    <w:nsid w:val="628C895D"/>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2023-11-09T16:15:13Z</dcterms:created>
  <dcterms:modified xsi:type="dcterms:W3CDTF">2023-11-09T16:15:13Z</dcterms:modified>
</cp:coreProperties>
</file>