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285115</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21" w:lineRule="exact"/>
        <w:rPr>
          <w:sz w:val="24"/>
          <w:szCs w:val="24"/>
          <w:color w:val="auto"/>
        </w:rPr>
      </w:pPr>
    </w:p>
    <w:p>
      <w:pPr>
        <w:ind w:left="3840" w:right="3780" w:hanging="3834"/>
        <w:spacing w:after="0" w:line="281" w:lineRule="auto"/>
        <w:tabs>
          <w:tab w:leader="none" w:pos="423"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99" w:lineRule="exact"/>
        <w:rPr>
          <w:sz w:val="24"/>
          <w:szCs w:val="24"/>
          <w:color w:val="auto"/>
        </w:rPr>
      </w:pPr>
    </w:p>
    <w:p>
      <w:pPr>
        <w:ind w:left="4040" w:right="3780" w:hanging="4034"/>
        <w:spacing w:after="0" w:line="391" w:lineRule="auto"/>
        <w:tabs>
          <w:tab w:leader="none" w:pos="403"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from____ to ____</w:t>
      </w:r>
    </w:p>
    <w:p>
      <w:pPr>
        <w:ind w:left="4200"/>
        <w:spacing w:after="0"/>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Commission File Number: 001-32295</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FENNEC PHARMACEUTICALS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147"/>
        </w:trPr>
        <w:tc>
          <w:tcPr>
            <w:tcW w:w="3760" w:type="dxa"/>
            <w:vAlign w:val="bottom"/>
            <w:tcBorders>
              <w:top w:val="single" w:sz="8" w:color="auto"/>
            </w:tcBorders>
          </w:tcPr>
          <w:p>
            <w:pPr>
              <w:jc w:val="center"/>
              <w:ind w:left="1320"/>
              <w:spacing w:after="0"/>
              <w:rPr>
                <w:sz w:val="20"/>
                <w:szCs w:val="20"/>
                <w:color w:val="auto"/>
              </w:rPr>
            </w:pPr>
            <w:r>
              <w:rPr>
                <w:rFonts w:ascii="Times New Roman" w:cs="Times New Roman" w:eastAsia="Times New Roman" w:hAnsi="Times New Roman"/>
                <w:sz w:val="12"/>
                <w:szCs w:val="12"/>
                <w:b w:val="1"/>
                <w:bCs w:val="1"/>
                <w:color w:val="auto"/>
                <w:w w:val="99"/>
              </w:rPr>
              <w:t>British Columbia, Canada</w:t>
            </w:r>
          </w:p>
        </w:tc>
        <w:tc>
          <w:tcPr>
            <w:tcW w:w="28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tcPr>
          <w:p>
            <w:pPr>
              <w:jc w:val="right"/>
              <w:ind w:right="2240"/>
              <w:spacing w:after="0"/>
              <w:rPr>
                <w:sz w:val="20"/>
                <w:szCs w:val="20"/>
                <w:color w:val="auto"/>
              </w:rPr>
            </w:pPr>
            <w:r>
              <w:rPr>
                <w:rFonts w:ascii="Times New Roman" w:cs="Times New Roman" w:eastAsia="Times New Roman" w:hAnsi="Times New Roman"/>
                <w:sz w:val="12"/>
                <w:szCs w:val="12"/>
                <w:b w:val="1"/>
                <w:bCs w:val="1"/>
                <w:color w:val="auto"/>
              </w:rPr>
              <w:t>20-0442384</w:t>
            </w:r>
          </w:p>
        </w:tc>
      </w:tr>
      <w:tr>
        <w:trPr>
          <w:trHeight w:val="144"/>
        </w:trPr>
        <w:tc>
          <w:tcPr>
            <w:tcW w:w="3760" w:type="dxa"/>
            <w:vAlign w:val="bottom"/>
          </w:tcPr>
          <w:p>
            <w:pPr>
              <w:jc w:val="center"/>
              <w:ind w:left="132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20" w:type="dxa"/>
            <w:vAlign w:val="bottom"/>
          </w:tcPr>
          <w:p>
            <w:pPr>
              <w:jc w:val="center"/>
              <w:ind w:right="190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3760" w:type="dxa"/>
            <w:vAlign w:val="bottom"/>
          </w:tcPr>
          <w:p>
            <w:pPr>
              <w:jc w:val="center"/>
              <w:ind w:left="13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20" w:type="dxa"/>
            <w:vAlign w:val="bottom"/>
          </w:tcPr>
          <w:p>
            <w:pPr>
              <w:jc w:val="center"/>
              <w:ind w:right="190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3760" w:type="dxa"/>
            <w:vAlign w:val="bottom"/>
          </w:tcPr>
          <w:p>
            <w:pPr>
              <w:jc w:val="center"/>
              <w:ind w:left="1320"/>
              <w:spacing w:after="0"/>
              <w:rPr>
                <w:sz w:val="20"/>
                <w:szCs w:val="20"/>
                <w:color w:val="auto"/>
              </w:rPr>
            </w:pPr>
            <w:r>
              <w:rPr>
                <w:rFonts w:ascii="Times New Roman" w:cs="Times New Roman" w:eastAsia="Times New Roman" w:hAnsi="Times New Roman"/>
                <w:sz w:val="12"/>
                <w:szCs w:val="12"/>
                <w:b w:val="1"/>
                <w:bCs w:val="1"/>
                <w:color w:val="auto"/>
              </w:rPr>
              <w:t>PO Box 13628, 68 TW Alexander Drive</w:t>
            </w:r>
          </w:p>
        </w:tc>
        <w:tc>
          <w:tcPr>
            <w:tcW w:w="2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144"/>
        </w:trPr>
        <w:tc>
          <w:tcPr>
            <w:tcW w:w="3760" w:type="dxa"/>
            <w:vAlign w:val="bottom"/>
          </w:tcPr>
          <w:p>
            <w:pPr>
              <w:jc w:val="center"/>
              <w:ind w:left="1320"/>
              <w:spacing w:after="0"/>
              <w:rPr>
                <w:sz w:val="20"/>
                <w:szCs w:val="20"/>
                <w:color w:val="auto"/>
              </w:rPr>
            </w:pPr>
            <w:r>
              <w:rPr>
                <w:rFonts w:ascii="Times New Roman" w:cs="Times New Roman" w:eastAsia="Times New Roman" w:hAnsi="Times New Roman"/>
                <w:sz w:val="12"/>
                <w:szCs w:val="12"/>
                <w:b w:val="1"/>
                <w:bCs w:val="1"/>
                <w:color w:val="auto"/>
                <w:w w:val="99"/>
              </w:rPr>
              <w:t>Research Triangle Park, North Carolina</w:t>
            </w: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2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27709</w:t>
            </w:r>
          </w:p>
        </w:tc>
      </w:tr>
      <w:tr>
        <w:trPr>
          <w:trHeight w:val="159"/>
        </w:trPr>
        <w:tc>
          <w:tcPr>
            <w:tcW w:w="3760" w:type="dxa"/>
            <w:vAlign w:val="bottom"/>
            <w:tcBorders>
              <w:bottom w:val="single" w:sz="8" w:color="auto"/>
            </w:tcBorders>
          </w:tcPr>
          <w:p>
            <w:pPr>
              <w:jc w:val="center"/>
              <w:ind w:left="13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tcPr>
          <w:p>
            <w:pPr>
              <w:jc w:val="center"/>
              <w:ind w:right="18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6"/>
        </w:trPr>
        <w:tc>
          <w:tcPr>
            <w:tcW w:w="7080" w:type="dxa"/>
            <w:vAlign w:val="bottom"/>
            <w:gridSpan w:val="3"/>
          </w:tcPr>
          <w:p>
            <w:pPr>
              <w:jc w:val="center"/>
              <w:ind w:left="3140"/>
              <w:spacing w:after="0"/>
              <w:rPr>
                <w:sz w:val="20"/>
                <w:szCs w:val="20"/>
                <w:color w:val="auto"/>
              </w:rPr>
            </w:pPr>
            <w:r>
              <w:rPr>
                <w:rFonts w:ascii="Times New Roman" w:cs="Times New Roman" w:eastAsia="Times New Roman" w:hAnsi="Times New Roman"/>
                <w:sz w:val="12"/>
                <w:szCs w:val="12"/>
                <w:b w:val="1"/>
                <w:bCs w:val="1"/>
                <w:color w:val="auto"/>
                <w:w w:val="98"/>
              </w:rPr>
              <w:t>Registrant’s Telephone Number, Including Area Code: (919) 636-4530</w:t>
            </w:r>
          </w:p>
        </w:tc>
        <w:tc>
          <w:tcPr>
            <w:tcW w:w="3220" w:type="dxa"/>
            <w:vAlign w:val="bottom"/>
          </w:tcPr>
          <w:p>
            <w:pPr>
              <w:spacing w:after="0"/>
              <w:rPr>
                <w:sz w:val="24"/>
                <w:szCs w:val="24"/>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108"/>
        </w:trPr>
        <w:tc>
          <w:tcPr>
            <w:tcW w:w="376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r>
      <w:tr>
        <w:trPr>
          <w:trHeight w:val="133"/>
        </w:trPr>
        <w:tc>
          <w:tcPr>
            <w:tcW w:w="37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Title of each class</w:t>
            </w:r>
          </w:p>
        </w:tc>
        <w:tc>
          <w:tcPr>
            <w:tcW w:w="28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Trading Symbol(s)</w:t>
            </w:r>
          </w:p>
        </w:tc>
        <w:tc>
          <w:tcPr>
            <w:tcW w:w="520" w:type="dxa"/>
            <w:vAlign w:val="bottom"/>
            <w:tcBorders>
              <w:bottom w:val="single" w:sz="8" w:color="auto"/>
            </w:tcBorders>
          </w:tcPr>
          <w:p>
            <w:pPr>
              <w:spacing w:after="0"/>
              <w:rPr>
                <w:sz w:val="11"/>
                <w:szCs w:val="11"/>
                <w:color w:val="auto"/>
              </w:rPr>
            </w:pPr>
          </w:p>
        </w:tc>
        <w:tc>
          <w:tcPr>
            <w:tcW w:w="3220" w:type="dxa"/>
            <w:vAlign w:val="bottom"/>
            <w:tcBorders>
              <w:bottom w:val="single" w:sz="8" w:color="auto"/>
              <w:right w:val="single" w:sz="8" w:color="auto"/>
            </w:tcBorders>
          </w:tcPr>
          <w:p>
            <w:pPr>
              <w:jc w:val="center"/>
              <w:ind w:right="480"/>
              <w:spacing w:after="0" w:line="133" w:lineRule="exact"/>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37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Shares, no par value</w:t>
            </w:r>
          </w:p>
        </w:tc>
        <w:tc>
          <w:tcPr>
            <w:tcW w:w="28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FENC</w:t>
            </w:r>
          </w:p>
        </w:tc>
        <w:tc>
          <w:tcPr>
            <w:tcW w:w="520" w:type="dxa"/>
            <w:vAlign w:val="bottom"/>
            <w:tcBorders>
              <w:bottom w:val="single" w:sz="8" w:color="auto"/>
            </w:tcBorders>
          </w:tcPr>
          <w:p>
            <w:pPr>
              <w:spacing w:after="0"/>
              <w:rPr>
                <w:sz w:val="11"/>
                <w:szCs w:val="11"/>
                <w:color w:val="auto"/>
              </w:rPr>
            </w:pPr>
          </w:p>
        </w:tc>
        <w:tc>
          <w:tcPr>
            <w:tcW w:w="3220" w:type="dxa"/>
            <w:vAlign w:val="bottom"/>
            <w:tcBorders>
              <w:bottom w:val="single" w:sz="8" w:color="auto"/>
              <w:right w:val="single" w:sz="8" w:color="auto"/>
            </w:tcBorders>
          </w:tcPr>
          <w:p>
            <w:pPr>
              <w:jc w:val="center"/>
              <w:ind w:right="480"/>
              <w:spacing w:after="0" w:line="133" w:lineRule="exact"/>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88"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1"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1"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820" w:type="dxa"/>
            <w:vAlign w:val="bottom"/>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406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Accelerated Filer</w:t>
            </w:r>
          </w:p>
        </w:tc>
        <w:tc>
          <w:tcPr>
            <w:tcW w:w="5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4"/>
        </w:trPr>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820" w:type="dxa"/>
            <w:vAlign w:val="bottom"/>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406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5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4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6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Emerging growth company</w:t>
            </w:r>
          </w:p>
        </w:tc>
        <w:tc>
          <w:tcPr>
            <w:tcW w:w="5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7"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42" w:lineRule="exact"/>
        <w:rPr>
          <w:sz w:val="24"/>
          <w:szCs w:val="24"/>
          <w:color w:val="auto"/>
        </w:rPr>
      </w:pPr>
    </w:p>
    <w:p>
      <w:pPr>
        <w:ind w:right="3940"/>
        <w:spacing w:after="0" w:line="213" w:lineRule="exact"/>
        <w:rPr>
          <w:sz w:val="20"/>
          <w:szCs w:val="20"/>
          <w:color w:val="auto"/>
        </w:rPr>
      </w:pPr>
      <w:r>
        <w:rPr>
          <w:rFonts w:ascii="Times New Roman" w:cs="Times New Roman" w:eastAsia="Times New Roman" w:hAnsi="Times New Roman"/>
          <w:sz w:val="12"/>
          <w:szCs w:val="12"/>
          <w:color w:val="auto"/>
        </w:rPr>
        <w:t xml:space="preserve">Indicated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As of November 5, 2024, there were 27,432,234 of the registrant's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343535</wp:posOffset>
            </wp:positionV>
            <wp:extent cx="65379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63500</wp:posOffset>
            </wp:positionV>
            <wp:extent cx="65379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7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86360</wp:posOffset>
            </wp:positionV>
            <wp:extent cx="653796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7960" cy="22860"/>
                    </a:xfrm>
                    <a:prstGeom prst="rect">
                      <a:avLst/>
                    </a:prstGeom>
                    <a:noFill/>
                  </pic:spPr>
                </pic:pic>
              </a:graphicData>
            </a:graphic>
          </wp:anchor>
        </w:drawing>
      </w:r>
    </w:p>
    <w:p>
      <w:pPr>
        <w:sectPr>
          <w:pgSz w:w="11900" w:h="16838" w:orient="portrait"/>
          <w:cols w:equalWidth="0" w:num="1">
            <w:col w:w="10300"/>
          </w:cols>
          <w:pgMar w:left="800" w:top="489" w:right="7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460" w:type="dxa"/>
            <w:vAlign w:val="bottom"/>
            <w:gridSpan w:val="22"/>
          </w:tcPr>
          <w:p>
            <w:pPr>
              <w:ind w:left="40"/>
              <w:spacing w:after="0"/>
              <w:rPr>
                <w:sz w:val="20"/>
                <w:szCs w:val="20"/>
                <w:color w:val="auto"/>
              </w:rPr>
            </w:pPr>
            <w:r>
              <w:rPr>
                <w:rFonts w:ascii="Times New Roman" w:cs="Times New Roman" w:eastAsia="Times New Roman" w:hAnsi="Times New Roman"/>
                <w:sz w:val="12"/>
                <w:szCs w:val="12"/>
                <w:color w:val="0000EE"/>
              </w:rPr>
              <w:t>Table of Contents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6"/>
          </w:tcPr>
          <w:p>
            <w:pPr>
              <w:ind w:left="62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40" w:type="dxa"/>
            <w:vAlign w:val="bottom"/>
            <w:gridSpan w:val="12"/>
            <w:vMerge w:val="restart"/>
          </w:tcPr>
          <w:p>
            <w:pPr>
              <w:spacing w:after="0"/>
              <w:rPr>
                <w:sz w:val="20"/>
                <w:szCs w:val="20"/>
                <w:color w:val="auto"/>
              </w:rPr>
            </w:pPr>
            <w:r>
              <w:rPr>
                <w:rFonts w:ascii="Times New Roman" w:cs="Times New Roman" w:eastAsia="Times New Roman" w:hAnsi="Times New Roman"/>
                <w:sz w:val="12"/>
                <w:szCs w:val="12"/>
                <w:color w:val="0000EE"/>
                <w:w w:val="98"/>
              </w:rPr>
              <w:t>PART I: FINANCIAL INFORMATION</w:t>
            </w:r>
          </w:p>
        </w:tc>
        <w:tc>
          <w:tcPr>
            <w:tcW w:w="6520" w:type="dxa"/>
            <w:vAlign w:val="bottom"/>
            <w:gridSpan w:val="10"/>
            <w:vMerge w:val="restart"/>
          </w:tcPr>
          <w:p>
            <w:pPr>
              <w:spacing w:after="0"/>
              <w:rPr>
                <w:sz w:val="24"/>
                <w:szCs w:val="24"/>
                <w:color w:val="auto"/>
              </w:rPr>
            </w:pPr>
          </w:p>
        </w:tc>
        <w:tc>
          <w:tcPr>
            <w:tcW w:w="6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11"/>
        </w:trPr>
        <w:tc>
          <w:tcPr>
            <w:tcW w:w="1940" w:type="dxa"/>
            <w:vAlign w:val="bottom"/>
            <w:tcBorders>
              <w:bottom w:val="single" w:sz="8" w:color="0000EE"/>
            </w:tcBorders>
            <w:gridSpan w:val="12"/>
            <w:vMerge w:val="continue"/>
          </w:tcPr>
          <w:p>
            <w:pPr>
              <w:spacing w:after="0"/>
              <w:rPr>
                <w:sz w:val="9"/>
                <w:szCs w:val="9"/>
                <w:color w:val="auto"/>
              </w:rPr>
            </w:pPr>
          </w:p>
        </w:tc>
        <w:tc>
          <w:tcPr>
            <w:tcW w:w="6520" w:type="dxa"/>
            <w:vAlign w:val="bottom"/>
            <w:gridSpan w:val="10"/>
            <w:vMerge w:val="continue"/>
          </w:tcPr>
          <w:p>
            <w:pPr>
              <w:spacing w:after="0"/>
              <w:rPr>
                <w:sz w:val="9"/>
                <w:szCs w:val="9"/>
                <w:color w:val="auto"/>
              </w:rPr>
            </w:pPr>
          </w:p>
        </w:tc>
        <w:tc>
          <w:tcPr>
            <w:tcW w:w="600" w:type="dxa"/>
            <w:vAlign w:val="bottom"/>
            <w:gridSpan w:val="2"/>
          </w:tcPr>
          <w:p>
            <w:pPr>
              <w:jc w:val="right"/>
              <w:ind w:right="20"/>
              <w:spacing w:after="0" w:line="106"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68"/>
        </w:trPr>
        <w:tc>
          <w:tcPr>
            <w:tcW w:w="26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2"/>
                <w:szCs w:val="12"/>
                <w:color w:val="0000EE"/>
                <w:w w:val="99"/>
              </w:rPr>
              <w:t>Item 1. Condensed Consolidated Financial Statements</w:t>
            </w:r>
          </w:p>
        </w:tc>
        <w:tc>
          <w:tcPr>
            <w:tcW w:w="5860" w:type="dxa"/>
            <w:vAlign w:val="bottom"/>
            <w:gridSpan w:val="9"/>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68"/>
        </w:trPr>
        <w:tc>
          <w:tcPr>
            <w:tcW w:w="846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Condensed Consolidated Balance Sheets (Unaudited) as of September 30, 2024 and December 31, 2023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46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Condensed Consolidated Statements of Operations (Unaudited) for the Three and Nine Months Ended September 30, 2024 and 2023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2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2"/>
                <w:szCs w:val="12"/>
                <w:color w:val="0000EE"/>
                <w:w w:val="99"/>
              </w:rPr>
              <w:t>Condensed Consolidated Statements of Stockholders' Equity (Deficit) (Unaudited) for the Three and Nine Months Ended September 30, 2024 and 2023</w:t>
            </w:r>
          </w:p>
        </w:tc>
        <w:tc>
          <w:tcPr>
            <w:tcW w:w="118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68"/>
        </w:trPr>
        <w:tc>
          <w:tcPr>
            <w:tcW w:w="846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Condensed Consolidated Statements of Cash Flows (Unaudited) for the Nine Months Ended September 30, 2024 and 2023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68"/>
        </w:trPr>
        <w:tc>
          <w:tcPr>
            <w:tcW w:w="284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2"/>
                <w:szCs w:val="12"/>
                <w:color w:val="0000EE"/>
                <w:w w:val="99"/>
              </w:rPr>
              <w:t>Notes to the Condensed Consolidated Financial Statements</w:t>
            </w:r>
          </w:p>
        </w:tc>
        <w:tc>
          <w:tcPr>
            <w:tcW w:w="3040" w:type="dxa"/>
            <w:vAlign w:val="bottom"/>
            <w:tcBorders>
              <w:top w:val="single" w:sz="8" w:color="0000EE"/>
            </w:tcBorders>
            <w:gridSpan w:val="5"/>
          </w:tcPr>
          <w:p>
            <w:pPr>
              <w:spacing w:after="0"/>
              <w:rPr>
                <w:sz w:val="23"/>
                <w:szCs w:val="23"/>
                <w:color w:val="auto"/>
              </w:rPr>
            </w:pPr>
          </w:p>
        </w:tc>
        <w:tc>
          <w:tcPr>
            <w:tcW w:w="2580" w:type="dxa"/>
            <w:vAlign w:val="bottom"/>
            <w:gridSpan w:val="3"/>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68"/>
        </w:trPr>
        <w:tc>
          <w:tcPr>
            <w:tcW w:w="4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2"/>
                <w:szCs w:val="12"/>
                <w:color w:val="0000EE"/>
                <w:w w:val="99"/>
              </w:rPr>
              <w:t>Item 2. Management's Discussion and Analysis of Financial Condition and Results of Operations</w:t>
            </w:r>
          </w:p>
        </w:tc>
        <w:tc>
          <w:tcPr>
            <w:tcW w:w="3800" w:type="dxa"/>
            <w:vAlign w:val="bottom"/>
            <w:gridSpan w:val="5"/>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268"/>
        </w:trPr>
        <w:tc>
          <w:tcPr>
            <w:tcW w:w="3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2"/>
                <w:szCs w:val="12"/>
                <w:color w:val="0000EE"/>
                <w:w w:val="99"/>
              </w:rPr>
              <w:t>Item 3. Quantitative and Qualitative Disclosures about Market Risk</w:t>
            </w:r>
          </w:p>
        </w:tc>
        <w:tc>
          <w:tcPr>
            <w:tcW w:w="5220" w:type="dxa"/>
            <w:vAlign w:val="bottom"/>
            <w:gridSpan w:val="7"/>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268"/>
        </w:trPr>
        <w:tc>
          <w:tcPr>
            <w:tcW w:w="15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2"/>
                <w:szCs w:val="12"/>
                <w:color w:val="0000EE"/>
                <w:w w:val="99"/>
              </w:rPr>
              <w:t>Item 4. Controls and Procedures</w:t>
            </w:r>
          </w:p>
        </w:tc>
        <w:tc>
          <w:tcPr>
            <w:tcW w:w="6900" w:type="dxa"/>
            <w:vAlign w:val="bottom"/>
            <w:gridSpan w:val="13"/>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412"/>
        </w:trPr>
        <w:tc>
          <w:tcPr>
            <w:tcW w:w="1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7"/>
              </w:rPr>
              <w:t>PART II: OTHER INFORMATION</w:t>
            </w:r>
          </w:p>
        </w:tc>
        <w:tc>
          <w:tcPr>
            <w:tcW w:w="6740" w:type="dxa"/>
            <w:vAlign w:val="bottom"/>
            <w:gridSpan w:val="12"/>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68"/>
        </w:trPr>
        <w:tc>
          <w:tcPr>
            <w:tcW w:w="12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8"/>
              </w:rPr>
              <w:t>Item 1. Legal Proceedings</w:t>
            </w:r>
          </w:p>
        </w:tc>
        <w:tc>
          <w:tcPr>
            <w:tcW w:w="7200" w:type="dxa"/>
            <w:vAlign w:val="bottom"/>
            <w:gridSpan w:val="15"/>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68"/>
        </w:trPr>
        <w:tc>
          <w:tcPr>
            <w:tcW w:w="10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8"/>
              </w:rPr>
              <w:t>Item 1A. Risk Factors</w:t>
            </w:r>
          </w:p>
        </w:tc>
        <w:tc>
          <w:tcPr>
            <w:tcW w:w="7400" w:type="dxa"/>
            <w:vAlign w:val="bottom"/>
            <w:gridSpan w:val="17"/>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68"/>
        </w:trPr>
        <w:tc>
          <w:tcPr>
            <w:tcW w:w="846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Item 2. Unregistered Sales of Equity Securities and Use of Proceeds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268"/>
        </w:trPr>
        <w:tc>
          <w:tcPr>
            <w:tcW w:w="19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2"/>
                <w:szCs w:val="12"/>
                <w:color w:val="0000EE"/>
                <w:w w:val="98"/>
              </w:rPr>
              <w:t>Item 3. Defaults Upon Senior Securities</w:t>
            </w:r>
          </w:p>
        </w:tc>
        <w:tc>
          <w:tcPr>
            <w:tcW w:w="1340" w:type="dxa"/>
            <w:vAlign w:val="bottom"/>
            <w:tcBorders>
              <w:top w:val="single" w:sz="8" w:color="0000EE"/>
            </w:tcBorders>
            <w:gridSpan w:val="5"/>
          </w:tcPr>
          <w:p>
            <w:pPr>
              <w:spacing w:after="0"/>
              <w:rPr>
                <w:sz w:val="23"/>
                <w:szCs w:val="23"/>
                <w:color w:val="auto"/>
              </w:rPr>
            </w:pPr>
          </w:p>
        </w:tc>
        <w:tc>
          <w:tcPr>
            <w:tcW w:w="5200" w:type="dxa"/>
            <w:vAlign w:val="bottom"/>
            <w:gridSpan w:val="6"/>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68"/>
        </w:trPr>
        <w:tc>
          <w:tcPr>
            <w:tcW w:w="846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Item 4. Mine Safety Disclosures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68"/>
        </w:trPr>
        <w:tc>
          <w:tcPr>
            <w:tcW w:w="12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7"/>
              </w:rPr>
              <w:t>Item 5. Other Information</w:t>
            </w:r>
          </w:p>
        </w:tc>
        <w:tc>
          <w:tcPr>
            <w:tcW w:w="300" w:type="dxa"/>
            <w:vAlign w:val="bottom"/>
            <w:tcBorders>
              <w:top w:val="single" w:sz="8" w:color="0000EE"/>
            </w:tcBorders>
            <w:gridSpan w:val="2"/>
          </w:tcPr>
          <w:p>
            <w:pPr>
              <w:spacing w:after="0"/>
              <w:rPr>
                <w:sz w:val="23"/>
                <w:szCs w:val="23"/>
                <w:color w:val="auto"/>
              </w:rPr>
            </w:pPr>
          </w:p>
        </w:tc>
        <w:tc>
          <w:tcPr>
            <w:tcW w:w="6920" w:type="dxa"/>
            <w:vAlign w:val="bottom"/>
            <w:gridSpan w:val="14"/>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68"/>
        </w:trPr>
        <w:tc>
          <w:tcPr>
            <w:tcW w:w="846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Item 6. Exhibits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68"/>
        </w:trPr>
        <w:tc>
          <w:tcPr>
            <w:tcW w:w="7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rPr>
              <w:t>Signatures</w:t>
            </w:r>
          </w:p>
        </w:tc>
        <w:tc>
          <w:tcPr>
            <w:tcW w:w="7700" w:type="dxa"/>
            <w:vAlign w:val="bottom"/>
            <w:gridSpan w:val="19"/>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671"/>
        </w:trPr>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380" w:right="141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1: FINANCIAL INFORMATION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10"/>
                <w:szCs w:val="1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6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10"/>
                <w:szCs w:val="10"/>
                <w:color w:val="auto"/>
              </w:rPr>
            </w:pPr>
          </w:p>
        </w:tc>
      </w:tr>
      <w:tr>
        <w:trPr>
          <w:trHeight w:val="133"/>
        </w:trPr>
        <w:tc>
          <w:tcPr>
            <w:tcW w:w="6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40,320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13,269</w:t>
            </w: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Accounts receivable, net</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8,814</w:t>
            </w: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Prepaid expenses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Inventory</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2,156</w:t>
            </w: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0" w:type="dxa"/>
            <w:vAlign w:val="bottom"/>
            <w:shd w:val="clear" w:color="auto" w:fill="CCEEFF"/>
          </w:tcPr>
          <w:p>
            <w:pPr>
              <w:spacing w:after="0"/>
              <w:rPr>
                <w:sz w:val="12"/>
                <w:szCs w:val="12"/>
                <w:color w:val="auto"/>
              </w:rPr>
            </w:pPr>
          </w:p>
        </w:tc>
      </w:tr>
      <w:tr>
        <w:trPr>
          <w:trHeight w:val="133"/>
        </w:trPr>
        <w:tc>
          <w:tcPr>
            <w:tcW w:w="62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57,965</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26,858</w:t>
            </w:r>
          </w:p>
        </w:tc>
        <w:tc>
          <w:tcPr>
            <w:tcW w:w="200" w:type="dxa"/>
            <w:vAlign w:val="bottom"/>
            <w:tcBorders>
              <w:bottom w:val="single" w:sz="8" w:color="CCEEFF"/>
            </w:tcBorders>
          </w:tcPr>
          <w:p>
            <w:pPr>
              <w:spacing w:after="0"/>
              <w:rPr>
                <w:sz w:val="11"/>
                <w:szCs w:val="11"/>
                <w:color w:val="auto"/>
              </w:rPr>
            </w:pPr>
          </w:p>
        </w:tc>
      </w:tr>
      <w:tr>
        <w:trPr>
          <w:trHeight w:val="133"/>
        </w:trPr>
        <w:tc>
          <w:tcPr>
            <w:tcW w:w="6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4"/>
        </w:trPr>
        <w:tc>
          <w:tcPr>
            <w:tcW w:w="6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non-current assets, net of amortization</w:t>
            </w:r>
          </w:p>
        </w:tc>
        <w:tc>
          <w:tcPr>
            <w:tcW w:w="2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shd w:val="clear" w:color="auto" w:fill="CCEEFF"/>
          </w:tcPr>
          <w:p>
            <w:pPr>
              <w:spacing w:after="0"/>
              <w:rPr>
                <w:sz w:val="12"/>
                <w:szCs w:val="12"/>
                <w:color w:val="auto"/>
              </w:rPr>
            </w:pPr>
          </w:p>
        </w:tc>
      </w:tr>
      <w:tr>
        <w:trPr>
          <w:trHeight w:val="133"/>
        </w:trPr>
        <w:tc>
          <w:tcPr>
            <w:tcW w:w="62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956</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00" w:type="dxa"/>
            <w:vAlign w:val="bottom"/>
            <w:tcBorders>
              <w:bottom w:val="single" w:sz="8" w:color="CCEEFF"/>
            </w:tcBorders>
          </w:tcPr>
          <w:p>
            <w:pPr>
              <w:spacing w:after="0"/>
              <w:rPr>
                <w:sz w:val="11"/>
                <w:szCs w:val="11"/>
                <w:color w:val="auto"/>
              </w:rPr>
            </w:pPr>
          </w:p>
        </w:tc>
      </w:tr>
      <w:tr>
        <w:trPr>
          <w:trHeight w:val="140"/>
        </w:trPr>
        <w:tc>
          <w:tcPr>
            <w:tcW w:w="62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22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58,921</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26,864</w:t>
            </w:r>
          </w:p>
        </w:tc>
        <w:tc>
          <w:tcPr>
            <w:tcW w:w="200" w:type="dxa"/>
            <w:vAlign w:val="bottom"/>
            <w:tcBorders>
              <w:bottom w:val="single" w:sz="8" w:color="CCEEFF"/>
            </w:tcBorders>
            <w:shd w:val="clear" w:color="auto" w:fill="CCEEFF"/>
          </w:tcPr>
          <w:p>
            <w:pPr>
              <w:spacing w:after="0"/>
              <w:rPr>
                <w:sz w:val="12"/>
                <w:szCs w:val="12"/>
                <w:color w:val="auto"/>
              </w:rPr>
            </w:pPr>
          </w:p>
        </w:tc>
      </w:tr>
      <w:tr>
        <w:trPr>
          <w:trHeight w:val="144"/>
        </w:trPr>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deficit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Accounts payable</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3,778</w:t>
            </w: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Accrued liabilities</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3,754</w:t>
            </w: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Operating lease liability - current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Contract liability - current</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2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7,435</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7,553</w:t>
            </w:r>
          </w:p>
        </w:tc>
        <w:tc>
          <w:tcPr>
            <w:tcW w:w="200" w:type="dxa"/>
            <w:vAlign w:val="bottom"/>
            <w:tcBorders>
              <w:top w:val="single" w:sz="8" w:color="CCEEFF"/>
            </w:tcBorders>
            <w:shd w:val="clear" w:color="auto" w:fill="CCEEFF"/>
          </w:tcPr>
          <w:p>
            <w:pPr>
              <w:spacing w:after="0"/>
              <w:rPr>
                <w:sz w:val="11"/>
                <w:szCs w:val="11"/>
                <w:color w:val="auto"/>
              </w:rPr>
            </w:pPr>
          </w:p>
        </w:tc>
      </w:tr>
      <w:tr>
        <w:trPr>
          <w:trHeight w:val="133"/>
        </w:trPr>
        <w:tc>
          <w:tcPr>
            <w:tcW w:w="6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Term loan</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PIK interest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w:t>
            </w: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Debt discount</w:t>
            </w:r>
          </w:p>
        </w:tc>
        <w:tc>
          <w:tcPr>
            <w:tcW w:w="2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(227)</w:t>
            </w:r>
          </w:p>
        </w:tc>
        <w:tc>
          <w:tcPr>
            <w:tcW w:w="16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(288)</w:t>
            </w:r>
          </w:p>
        </w:tc>
      </w:tr>
      <w:tr>
        <w:trPr>
          <w:trHeight w:val="153"/>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Contract liability - long-term</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24,561</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13"/>
                <w:szCs w:val="13"/>
                <w:color w:val="auto"/>
              </w:rPr>
            </w:pPr>
          </w:p>
        </w:tc>
      </w:tr>
      <w:tr>
        <w:trPr>
          <w:trHeight w:val="133"/>
        </w:trPr>
        <w:tc>
          <w:tcPr>
            <w:tcW w:w="62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56,657</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30,933</w:t>
            </w:r>
          </w:p>
        </w:tc>
        <w:tc>
          <w:tcPr>
            <w:tcW w:w="200" w:type="dxa"/>
            <w:vAlign w:val="bottom"/>
            <w:tcBorders>
              <w:bottom w:val="single" w:sz="8" w:color="CCEEFF"/>
            </w:tcBorders>
          </w:tcPr>
          <w:p>
            <w:pPr>
              <w:spacing w:after="0"/>
              <w:rPr>
                <w:sz w:val="11"/>
                <w:szCs w:val="11"/>
                <w:color w:val="auto"/>
              </w:rPr>
            </w:pPr>
          </w:p>
        </w:tc>
      </w:tr>
      <w:tr>
        <w:trPr>
          <w:trHeight w:val="133"/>
        </w:trPr>
        <w:tc>
          <w:tcPr>
            <w:tcW w:w="6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2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64,092</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38,486</w:t>
            </w:r>
          </w:p>
        </w:tc>
        <w:tc>
          <w:tcPr>
            <w:tcW w:w="200" w:type="dxa"/>
            <w:vAlign w:val="bottom"/>
            <w:shd w:val="clear" w:color="auto" w:fill="CCEEFF"/>
          </w:tcPr>
          <w:p>
            <w:pPr>
              <w:spacing w:after="0"/>
              <w:rPr>
                <w:sz w:val="11"/>
                <w:szCs w:val="11"/>
                <w:color w:val="auto"/>
              </w:rPr>
            </w:pPr>
          </w:p>
        </w:tc>
      </w:tr>
      <w:tr>
        <w:trPr>
          <w:trHeight w:val="133"/>
        </w:trPr>
        <w:tc>
          <w:tcPr>
            <w:tcW w:w="6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 (Note 6)</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ind w:left="60"/>
              <w:spacing w:after="0" w:line="138" w:lineRule="exact"/>
              <w:rPr>
                <w:sz w:val="20"/>
                <w:szCs w:val="20"/>
                <w:color w:val="auto"/>
              </w:rPr>
            </w:pPr>
            <w:r>
              <w:rPr>
                <w:rFonts w:ascii="Times New Roman" w:cs="Times New Roman" w:eastAsia="Times New Roman" w:hAnsi="Times New Roman"/>
                <w:sz w:val="12"/>
                <w:szCs w:val="12"/>
                <w:color w:val="auto"/>
              </w:rPr>
              <w:t xml:space="preserve">Common stock, no par value; unlimited shares authorized; 27,422 shares issued and outstanding (2023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27,027)</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145,438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144,307</w:t>
            </w:r>
          </w:p>
        </w:tc>
        <w:tc>
          <w:tcPr>
            <w:tcW w:w="200" w:type="dxa"/>
            <w:vAlign w:val="bottom"/>
          </w:tcPr>
          <w:p>
            <w:pPr>
              <w:spacing w:after="0"/>
              <w:rPr>
                <w:sz w:val="12"/>
                <w:szCs w:val="12"/>
                <w:color w:val="auto"/>
              </w:rPr>
            </w:pP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65,844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62,073</w:t>
            </w:r>
          </w:p>
        </w:tc>
        <w:tc>
          <w:tcPr>
            <w:tcW w:w="200" w:type="dxa"/>
            <w:vAlign w:val="bottom"/>
            <w:shd w:val="clear" w:color="auto" w:fill="CCEEFF"/>
          </w:tcPr>
          <w:p>
            <w:pPr>
              <w:spacing w:after="0"/>
              <w:rPr>
                <w:sz w:val="12"/>
                <w:szCs w:val="12"/>
                <w:color w:val="auto"/>
              </w:rPr>
            </w:pPr>
          </w:p>
        </w:tc>
      </w:tr>
      <w:tr>
        <w:trPr>
          <w:trHeight w:val="144"/>
        </w:trPr>
        <w:tc>
          <w:tcPr>
            <w:tcW w:w="6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(217,696)</w:t>
            </w:r>
          </w:p>
        </w:tc>
        <w:tc>
          <w:tcPr>
            <w:tcW w:w="16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(219,245)</w:t>
            </w:r>
          </w:p>
        </w:tc>
      </w:tr>
      <w:tr>
        <w:trPr>
          <w:trHeight w:val="144"/>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2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w:t>
            </w:r>
          </w:p>
        </w:tc>
        <w:tc>
          <w:tcPr>
            <w:tcW w:w="200" w:type="dxa"/>
            <w:vAlign w:val="bottom"/>
            <w:shd w:val="clear" w:color="auto" w:fill="CCEEFF"/>
          </w:tcPr>
          <w:p>
            <w:pPr>
              <w:spacing w:after="0"/>
              <w:rPr>
                <w:sz w:val="12"/>
                <w:szCs w:val="12"/>
                <w:color w:val="auto"/>
              </w:rPr>
            </w:pPr>
          </w:p>
        </w:tc>
      </w:tr>
      <w:tr>
        <w:trPr>
          <w:trHeight w:val="133"/>
        </w:trPr>
        <w:tc>
          <w:tcPr>
            <w:tcW w:w="62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(5,171)</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(11,622)</w:t>
            </w:r>
          </w:p>
        </w:tc>
        <w:tc>
          <w:tcPr>
            <w:tcW w:w="200" w:type="dxa"/>
            <w:vAlign w:val="bottom"/>
            <w:tcBorders>
              <w:bottom w:val="single" w:sz="8" w:color="CCEEFF"/>
            </w:tcBorders>
          </w:tcPr>
          <w:p>
            <w:pPr>
              <w:spacing w:after="0"/>
              <w:rPr>
                <w:sz w:val="11"/>
                <w:szCs w:val="11"/>
                <w:color w:val="auto"/>
              </w:rPr>
            </w:pPr>
          </w:p>
        </w:tc>
      </w:tr>
      <w:tr>
        <w:trPr>
          <w:trHeight w:val="140"/>
        </w:trPr>
        <w:tc>
          <w:tcPr>
            <w:tcW w:w="62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 and holders’ deficit</w:t>
            </w:r>
          </w:p>
        </w:tc>
        <w:tc>
          <w:tcPr>
            <w:tcW w:w="22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58,921</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26,864</w:t>
            </w:r>
          </w:p>
        </w:tc>
        <w:tc>
          <w:tcPr>
            <w:tcW w:w="200" w:type="dxa"/>
            <w:vAlign w:val="bottom"/>
            <w:tcBorders>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amounts)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5"/>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20" w:type="dxa"/>
            <w:vAlign w:val="bottom"/>
          </w:tcPr>
          <w:p>
            <w:pPr>
              <w:spacing w:after="0"/>
              <w:rPr>
                <w:sz w:val="10"/>
                <w:szCs w:val="10"/>
                <w:color w:val="auto"/>
              </w:rPr>
            </w:pPr>
          </w:p>
        </w:tc>
        <w:tc>
          <w:tcPr>
            <w:tcW w:w="1920" w:type="dxa"/>
            <w:vAlign w:val="bottom"/>
            <w:gridSpan w:val="5"/>
          </w:tcPr>
          <w:p>
            <w:pPr>
              <w:ind w:left="48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0" w:type="dxa"/>
            <w:vAlign w:val="bottom"/>
          </w:tcPr>
          <w:p>
            <w:pPr>
              <w:spacing w:after="0"/>
              <w:rPr>
                <w:sz w:val="1"/>
                <w:szCs w:val="1"/>
                <w:color w:val="auto"/>
              </w:rPr>
            </w:pPr>
          </w:p>
        </w:tc>
      </w:tr>
      <w:tr>
        <w:trPr>
          <w:trHeight w:val="72"/>
        </w:trPr>
        <w:tc>
          <w:tcPr>
            <w:tcW w:w="48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gridSpan w:val="2"/>
          </w:tcPr>
          <w:p>
            <w:pPr>
              <w:jc w:val="right"/>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jc w:val="right"/>
              <w:ind w:right="121"/>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gridSpan w:val="2"/>
          </w:tcPr>
          <w:p>
            <w:pPr>
              <w:jc w:val="right"/>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jc w:val="right"/>
              <w:ind w:right="121"/>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Product sales,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6,515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21,655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11,517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Licensing revenue</w:t>
            </w:r>
          </w:p>
        </w:tc>
        <w:tc>
          <w:tcPr>
            <w:tcW w:w="100" w:type="dxa"/>
            <w:vAlign w:val="bottom"/>
          </w:tcPr>
          <w:p>
            <w:pPr>
              <w:spacing w:after="0"/>
              <w:rPr>
                <w:sz w:val="12"/>
                <w:szCs w:val="12"/>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revenue</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6,974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6,515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39,613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11,517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product sales</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Selling and marketing</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6,121</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18,857</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12,176</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7,532</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36,111</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 Income from operations</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(5,202)</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(1,017)</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3,502</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(10,953)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(expense)/income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Realized foreign exchange (loss)/gain</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expense</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(72)</w:t>
            </w: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Unrealized loss on securities</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(1,025)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(856)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(3,103)</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expense</w:t>
            </w: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(533)</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(850)</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(1,953)</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8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 /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(5,735)</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(1,867)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1,549</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net (loss) / income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800" w:type="dxa"/>
            <w:vAlign w:val="bottom"/>
            <w:tcBorders>
              <w:top w:val="single" w:sz="8" w:color="CCEEFF"/>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Diluted net (loss ) / income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(0.21)</w:t>
            </w:r>
          </w:p>
        </w:tc>
        <w:tc>
          <w:tcPr>
            <w:tcW w:w="1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(0.07)</w:t>
            </w:r>
          </w:p>
        </w:tc>
        <w:tc>
          <w:tcPr>
            <w:tcW w:w="1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0.06</w:t>
            </w:r>
          </w:p>
        </w:tc>
        <w:tc>
          <w:tcPr>
            <w:tcW w:w="1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Weighted-average number of common shares outstanding basic</w:t>
            </w: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27,371</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26,596</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27,371</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80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Weighted-average number of common shares outstanding diluted</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27,371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26,596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28,015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26,523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Three and Nine Months Ended September 30, 2024, and 2023</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tbl>
      <w:tblPr>
        <w:tblLayout w:type="fixed"/>
        <w:tblInd w:w="2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00"/>
              <w:spacing w:after="0" w:line="98"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6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Paid-in</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740" w:type="dxa"/>
            <w:vAlign w:val="bottom"/>
            <w:tcBorders>
              <w:top w:val="single" w:sz="8" w:color="auto"/>
            </w:tcBorders>
            <w:gridSpan w:val="2"/>
          </w:tcPr>
          <w:p>
            <w:pPr>
              <w:ind w:left="16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161"/>
              <w:spacing w:after="0" w:line="88"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tcPr>
          <w:p>
            <w:pPr>
              <w:jc w:val="center"/>
              <w:ind w:right="260"/>
              <w:spacing w:after="0" w:line="88"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140" w:type="dxa"/>
            <w:vAlign w:val="bottom"/>
          </w:tcPr>
          <w:p>
            <w:pPr>
              <w:spacing w:after="0"/>
              <w:rPr>
                <w:sz w:val="7"/>
                <w:szCs w:val="7"/>
                <w:color w:val="auto"/>
              </w:rPr>
            </w:pPr>
          </w:p>
        </w:tc>
        <w:tc>
          <w:tcPr>
            <w:tcW w:w="880" w:type="dxa"/>
            <w:vAlign w:val="bottom"/>
            <w:gridSpan w:val="2"/>
          </w:tcPr>
          <w:p>
            <w:pPr>
              <w:jc w:val="center"/>
              <w:ind w:right="280"/>
              <w:spacing w:after="0" w:line="88" w:lineRule="exact"/>
              <w:rPr>
                <w:sz w:val="20"/>
                <w:szCs w:val="20"/>
                <w:color w:val="auto"/>
              </w:rPr>
            </w:pPr>
            <w:r>
              <w:rPr>
                <w:rFonts w:ascii="Times New Roman" w:cs="Times New Roman" w:eastAsia="Times New Roman" w:hAnsi="Times New Roman"/>
                <w:sz w:val="10"/>
                <w:szCs w:val="10"/>
                <w:b w:val="1"/>
                <w:bCs w:val="1"/>
                <w:color w:val="auto"/>
                <w:w w:val="98"/>
              </w:rPr>
              <w:t>Deficit</w:t>
            </w:r>
          </w:p>
        </w:tc>
        <w:tc>
          <w:tcPr>
            <w:tcW w:w="140" w:type="dxa"/>
            <w:vAlign w:val="bottom"/>
          </w:tcPr>
          <w:p>
            <w:pPr>
              <w:spacing w:after="0"/>
              <w:rPr>
                <w:sz w:val="7"/>
                <w:szCs w:val="7"/>
                <w:color w:val="auto"/>
              </w:rPr>
            </w:pPr>
          </w:p>
        </w:tc>
        <w:tc>
          <w:tcPr>
            <w:tcW w:w="1000" w:type="dxa"/>
            <w:vAlign w:val="bottom"/>
            <w:gridSpan w:val="2"/>
          </w:tcPr>
          <w:p>
            <w:pPr>
              <w:jc w:val="center"/>
              <w:ind w:right="300"/>
              <w:spacing w:after="0" w:line="88"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w w:val="95"/>
              </w:rPr>
              <w:t>Equity/(Deficit)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27,027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144,307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62,073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(219,245)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1,243</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 employees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stock release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March 31, 2024</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27,105</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144,934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63,245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(206,408)</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1,243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 employees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 exercise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release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(5,553)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June 30, 2024</w:t>
            </w: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27,329</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145,281</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64,080</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(211,961)</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1,243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 employees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 option exercise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stock release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(5,735)</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September 30, 2024</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27,422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145,438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65,844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(217,696)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1,243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5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Paid-in</w:t>
            </w:r>
          </w:p>
        </w:tc>
        <w:tc>
          <w:tcPr>
            <w:tcW w:w="140" w:type="dxa"/>
            <w:vAlign w:val="bottom"/>
          </w:tcPr>
          <w:p>
            <w:pPr>
              <w:spacing w:after="0"/>
              <w:rPr>
                <w:sz w:val="11"/>
                <w:szCs w:val="11"/>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0"/>
                <w:szCs w:val="1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4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Equity/(Deficit)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26,361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142,591</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56,797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(203,200)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1,243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 employees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 consultants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 option exercise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stock release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(6,052)</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March 31, 2023</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26,411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142,804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57,866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(209,252)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1,243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(7,339)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 employees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 consultants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 option exercise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stock release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(5,444)</w:t>
            </w: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June 30, 2023</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26,509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143,345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60,381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(214,696)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1,243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(9,727)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 employees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 consultants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 option exercise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stock release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(1,867)</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September 30, 2023</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26,633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143,560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61,229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(216,563)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1,243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(10,531)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80" w:type="dxa"/>
            <w:vAlign w:val="bottom"/>
            <w:gridSpan w:val="5"/>
          </w:tcPr>
          <w:p>
            <w:pPr>
              <w:jc w:val="right"/>
              <w:ind w:right="96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72"/>
        </w:trPr>
        <w:tc>
          <w:tcPr>
            <w:tcW w:w="6400" w:type="dxa"/>
            <w:vAlign w:val="bottom"/>
          </w:tcPr>
          <w:p>
            <w:pPr>
              <w:spacing w:after="0"/>
              <w:rPr>
                <w:sz w:val="6"/>
                <w:szCs w:val="6"/>
                <w:color w:val="auto"/>
              </w:rPr>
            </w:pPr>
          </w:p>
        </w:tc>
        <w:tc>
          <w:tcPr>
            <w:tcW w:w="1280" w:type="dxa"/>
            <w:vAlign w:val="bottom"/>
            <w:tcBorders>
              <w:top w:val="single" w:sz="8" w:color="auto"/>
            </w:tcBorders>
            <w:gridSpan w:val="3"/>
          </w:tcPr>
          <w:p>
            <w:pPr>
              <w:jc w:val="right"/>
              <w:ind w:right="440"/>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jc w:val="right"/>
              <w:ind w:right="201"/>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6"/>
                <w:szCs w:val="6"/>
                <w:color w:val="auto"/>
              </w:rPr>
            </w:pPr>
          </w:p>
        </w:tc>
      </w:tr>
      <w:tr>
        <w:trPr>
          <w:trHeight w:val="115"/>
        </w:trPr>
        <w:tc>
          <w:tcPr>
            <w:tcW w:w="640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10"/>
                <w:szCs w:val="10"/>
                <w:color w:val="auto"/>
              </w:rPr>
            </w:pPr>
          </w:p>
        </w:tc>
      </w:tr>
      <w:tr>
        <w:trPr>
          <w:trHeight w:val="133"/>
        </w:trPr>
        <w:tc>
          <w:tcPr>
            <w:tcW w:w="6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provided by (used in):</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income/(loss)</w:t>
            </w:r>
          </w:p>
        </w:tc>
        <w:tc>
          <w:tcPr>
            <w:tcW w:w="68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(13,363)</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Adjustments to reconcile net income/(loss) to net cash provided by/(used in) operating activities: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Inventory reserve</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Allowance for doubtful accounts</w:t>
            </w:r>
          </w:p>
        </w:tc>
        <w:tc>
          <w:tcPr>
            <w:tcW w:w="6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debt discount</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00" w:type="dxa"/>
            <w:vAlign w:val="bottom"/>
            <w:shd w:val="clear" w:color="auto" w:fill="CCEEFF"/>
          </w:tcPr>
          <w:p>
            <w:pPr>
              <w:spacing w:after="0"/>
              <w:rPr>
                <w:sz w:val="12"/>
                <w:szCs w:val="12"/>
                <w:color w:val="auto"/>
              </w:rPr>
            </w:pP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Loss on securities</w:t>
            </w:r>
          </w:p>
        </w:tc>
        <w:tc>
          <w:tcPr>
            <w:tcW w:w="6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Norgine asset</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debt access fees</w:t>
            </w:r>
          </w:p>
        </w:tc>
        <w:tc>
          <w:tcPr>
            <w:tcW w:w="6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PIK interest</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200" w:type="dxa"/>
            <w:vAlign w:val="bottom"/>
            <w:shd w:val="clear" w:color="auto" w:fill="CCEEFF"/>
          </w:tcPr>
          <w:p>
            <w:pPr>
              <w:spacing w:after="0"/>
              <w:rPr>
                <w:sz w:val="12"/>
                <w:szCs w:val="12"/>
                <w:color w:val="auto"/>
              </w:rPr>
            </w:pP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 employees</w:t>
            </w:r>
          </w:p>
        </w:tc>
        <w:tc>
          <w:tcPr>
            <w:tcW w:w="6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4,497</w:t>
            </w: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w:t>
            </w:r>
          </w:p>
        </w:tc>
        <w:tc>
          <w:tcPr>
            <w:tcW w:w="6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(7,698)</w:t>
            </w:r>
          </w:p>
        </w:tc>
        <w:tc>
          <w:tcPr>
            <w:tcW w:w="1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(2,980)</w:t>
            </w:r>
          </w:p>
        </w:tc>
      </w:tr>
      <w:tr>
        <w:trPr>
          <w:trHeight w:val="144"/>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Prepaid expenses</w:t>
            </w:r>
          </w:p>
        </w:tc>
        <w:tc>
          <w:tcPr>
            <w:tcW w:w="6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(491)</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200" w:type="dxa"/>
            <w:vAlign w:val="bottom"/>
            <w:shd w:val="clear" w:color="auto" w:fill="CCEEFF"/>
          </w:tcPr>
          <w:p>
            <w:pPr>
              <w:spacing w:after="0"/>
              <w:rPr>
                <w:sz w:val="12"/>
                <w:szCs w:val="12"/>
                <w:color w:val="auto"/>
              </w:rPr>
            </w:pPr>
          </w:p>
        </w:tc>
      </w:tr>
      <w:tr>
        <w:trPr>
          <w:trHeight w:val="144"/>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Inventory</w:t>
            </w:r>
          </w:p>
        </w:tc>
        <w:tc>
          <w:tcPr>
            <w:tcW w:w="6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(1,179)</w:t>
            </w:r>
          </w:p>
        </w:tc>
      </w:tr>
      <w:tr>
        <w:trPr>
          <w:trHeight w:val="144"/>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current assets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6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liabilities</w:t>
            </w:r>
          </w:p>
        </w:tc>
        <w:tc>
          <w:tcPr>
            <w:tcW w:w="6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(441)</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(1,269)</w:t>
            </w:r>
          </w:p>
        </w:tc>
      </w:tr>
      <w:tr>
        <w:trPr>
          <w:trHeight w:val="144"/>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Contract liability - Norgine</w:t>
            </w:r>
          </w:p>
        </w:tc>
        <w:tc>
          <w:tcPr>
            <w:tcW w:w="6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24,809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 (used in) operating activities</w:t>
            </w: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28,454</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(12,283)</w:t>
            </w:r>
          </w:p>
        </w:tc>
        <w:tc>
          <w:tcPr>
            <w:tcW w:w="200" w:type="dxa"/>
            <w:vAlign w:val="bottom"/>
            <w:tcBorders>
              <w:top w:val="single" w:sz="8" w:color="CCEEFF"/>
            </w:tcBorders>
            <w:shd w:val="clear" w:color="auto" w:fill="CCEEFF"/>
          </w:tcPr>
          <w:p>
            <w:pPr>
              <w:spacing w:after="0"/>
              <w:rPr>
                <w:sz w:val="11"/>
                <w:szCs w:val="11"/>
                <w:color w:val="auto"/>
              </w:rPr>
            </w:pPr>
          </w:p>
        </w:tc>
      </w:tr>
      <w:tr>
        <w:trPr>
          <w:trHeight w:val="133"/>
        </w:trPr>
        <w:tc>
          <w:tcPr>
            <w:tcW w:w="6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 options exercise</w:t>
            </w:r>
          </w:p>
        </w:tc>
        <w:tc>
          <w:tcPr>
            <w:tcW w:w="6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969</w:t>
            </w: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taxes on restricted share release</w:t>
            </w:r>
          </w:p>
        </w:tc>
        <w:tc>
          <w:tcPr>
            <w:tcW w:w="6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(167)</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Deferred costs</w:t>
            </w:r>
          </w:p>
        </w:tc>
        <w:tc>
          <w:tcPr>
            <w:tcW w:w="6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(1,740)</w:t>
            </w:r>
          </w:p>
        </w:tc>
        <w:tc>
          <w:tcPr>
            <w:tcW w:w="1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(used in) / provided by financing activities</w:t>
            </w: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(1,403)</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908</w:t>
            </w:r>
          </w:p>
        </w:tc>
        <w:tc>
          <w:tcPr>
            <w:tcW w:w="200" w:type="dxa"/>
            <w:vAlign w:val="bottom"/>
            <w:tcBorders>
              <w:top w:val="single" w:sz="8" w:color="CCEEFF"/>
            </w:tcBorders>
            <w:shd w:val="clear" w:color="auto" w:fill="CCEEFF"/>
          </w:tcPr>
          <w:p>
            <w:pPr>
              <w:spacing w:after="0"/>
              <w:rPr>
                <w:sz w:val="11"/>
                <w:szCs w:val="11"/>
                <w:color w:val="auto"/>
              </w:rPr>
            </w:pPr>
          </w:p>
        </w:tc>
      </w:tr>
      <w:tr>
        <w:trPr>
          <w:trHeight w:val="133"/>
        </w:trPr>
        <w:tc>
          <w:tcPr>
            <w:tcW w:w="6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Increase/(decrease) in cash and cash equivalents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27,051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(11,375)</w:t>
            </w:r>
          </w:p>
        </w:tc>
      </w:tr>
      <w:tr>
        <w:trPr>
          <w:trHeight w:val="144"/>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 Beginning of period</w:t>
            </w: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13,269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23,774</w:t>
            </w:r>
          </w:p>
        </w:tc>
        <w:tc>
          <w:tcPr>
            <w:tcW w:w="200" w:type="dxa"/>
            <w:vAlign w:val="bottom"/>
            <w:tcBorders>
              <w:bottom w:val="single" w:sz="8" w:color="CCEEFF"/>
            </w:tcBorders>
          </w:tcPr>
          <w:p>
            <w:pPr>
              <w:spacing w:after="0"/>
              <w:rPr>
                <w:sz w:val="12"/>
                <w:szCs w:val="12"/>
                <w:color w:val="auto"/>
              </w:rPr>
            </w:pPr>
          </w:p>
        </w:tc>
      </w:tr>
      <w:tr>
        <w:trPr>
          <w:trHeight w:val="140"/>
        </w:trPr>
        <w:tc>
          <w:tcPr>
            <w:tcW w:w="64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 - End of period</w:t>
            </w:r>
          </w:p>
        </w:tc>
        <w:tc>
          <w:tcPr>
            <w:tcW w:w="680" w:type="dxa"/>
            <w:vAlign w:val="bottom"/>
            <w:tcBorders>
              <w:bottom w:val="single" w:sz="8" w:color="auto"/>
            </w:tcBorders>
            <w:shd w:val="clear" w:color="auto" w:fill="CCEEFF"/>
          </w:tcPr>
          <w:p>
            <w:pPr>
              <w:jc w:val="right"/>
              <w:ind w:right="546"/>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40,320</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12,399</w:t>
            </w:r>
          </w:p>
        </w:tc>
        <w:tc>
          <w:tcPr>
            <w:tcW w:w="200" w:type="dxa"/>
            <w:vAlign w:val="bottom"/>
            <w:tcBorders>
              <w:bottom w:val="single" w:sz="8" w:color="CCEEFF"/>
            </w:tcBorders>
            <w:shd w:val="clear" w:color="auto" w:fill="CCEEFF"/>
          </w:tcPr>
          <w:p>
            <w:pPr>
              <w:spacing w:after="0"/>
              <w:rPr>
                <w:sz w:val="12"/>
                <w:szCs w:val="12"/>
                <w:color w:val="auto"/>
              </w:rPr>
            </w:pPr>
          </w:p>
        </w:tc>
      </w:tr>
      <w:tr>
        <w:trPr>
          <w:trHeight w:val="144"/>
        </w:trPr>
        <w:tc>
          <w:tcPr>
            <w:tcW w:w="6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51"/>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Capitalized lease asset</w:t>
            </w:r>
          </w:p>
        </w:tc>
        <w:tc>
          <w:tcPr>
            <w:tcW w:w="68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0" w:type="dxa"/>
            <w:vAlign w:val="bottom"/>
            <w:tcBorders>
              <w:bottom w:val="single" w:sz="8" w:color="CCEEFF"/>
            </w:tcBorders>
            <w:shd w:val="clear" w:color="auto" w:fill="CCEEFF"/>
          </w:tcPr>
          <w:p>
            <w:pPr>
              <w:spacing w:after="0"/>
              <w:rPr>
                <w:sz w:val="13"/>
                <w:szCs w:val="13"/>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5" w:lineRule="exact"/>
        <w:rPr>
          <w:sz w:val="20"/>
          <w:szCs w:val="20"/>
          <w:color w:val="auto"/>
        </w:rPr>
      </w:pPr>
    </w:p>
    <w:p>
      <w:pPr>
        <w:ind w:left="240" w:hanging="218"/>
        <w:spacing w:after="0"/>
        <w:tabs>
          <w:tab w:leader="none" w:pos="24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Nature of Business and Going Concern</w:t>
      </w:r>
    </w:p>
    <w:p>
      <w:pPr>
        <w:spacing w:after="0" w:line="154" w:lineRule="exact"/>
        <w:rPr>
          <w:sz w:val="20"/>
          <w:szCs w:val="20"/>
          <w:color w:val="auto"/>
        </w:rPr>
      </w:pPr>
    </w:p>
    <w:p>
      <w:pPr>
        <w:jc w:val="both"/>
        <w:ind w:left="20" w:right="39"/>
        <w:spacing w:after="0" w:line="238" w:lineRule="auto"/>
        <w:rPr>
          <w:sz w:val="20"/>
          <w:szCs w:val="20"/>
          <w:color w:val="auto"/>
        </w:rPr>
      </w:pPr>
      <w:r>
        <w:rPr>
          <w:rFonts w:ascii="Times New Roman" w:cs="Times New Roman" w:eastAsia="Times New Roman" w:hAnsi="Times New Roman"/>
          <w:sz w:val="12"/>
          <w:szCs w:val="12"/>
          <w:color w:val="auto"/>
        </w:rPr>
        <w:t>Fennec Pharmaceuticals Inc., a corporation existing under the laws of British Columbia (“Fennec,” the “Company,” “we,” “us,” or “our”), was originally formed under the name Adherex Technologies Inc. and subsequently changed its name on September 3, 2014. Fennec is a commercial stage specialty pharmaceutical company with one U.S. Food and Drug Administration (“FDA”) approved and European Commission approved product, PEDMARK</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the U.S. and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the European branded name for PEDMARK</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(collectively, “PEDMARK”), developed to reduce the risk of ototoxicity associated with cisplatin in pediatric patients one month of age and older with localized, non-metastatic solid tumors. The Company has four wholly owned subsidiaries: Oxiquant, Inc. (“Oxiquant”) and Fennec Pharmaceuticals, Inc., both Delaware corporations, Cadherin Biomedical Inc. (“CBI”), a Canadian corporation, and Fennec Pharmaceuticals (EU) Limited (“Fennec Limited”), an Ireland company, collectively referred to herein as the “Company.” With the exception of Fennec Pharmaceuticals, Inc. and Fennec Limited all subsidiaries are inactive.</w:t>
      </w:r>
    </w:p>
    <w:p>
      <w:pPr>
        <w:spacing w:after="0" w:line="137"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These unaudited interim condensed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spacing w:after="0" w:line="119"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During the three and nine-month period ended September 30, 2024, the Company earned a (loss)/income from operations of $(5,202) and $3,502 respectively. At September 30, 2024, it had an accumulated deficit of $217,696 and had experienced positive cash flows from operating activities during the nine months ended September 30, 2024, in the amount of $28,454.</w:t>
      </w:r>
    </w:p>
    <w:p>
      <w:pPr>
        <w:spacing w:after="0" w:line="111"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On August 1, 2022, the Company entered into a Securities Purchase Agreement (the “SPA”) with Petrichor Opportunities Fund I LP (the “Investor”) in connection with the issuance of up to $45,000 of senior secured floating rate convertible notes (the “Notes”), issuable in multiple tranches (the “Note Financing”). On August 19, 2022, the Company closed on the initial tranche of $5,000 (the “First Closing Note”) which has an Initial Conversion Price equal to $8.11 per share, which was calculated based on a 20% premium of the 5-day volume weighted average price of the Company’s common shares as traded on the Nasdaq Capital Market (the “VWAP”) immediately prior to the announcement of the SPA dated August 1, 2022. In connection with the closing of the First Closing Note, the Company repaid in full its secured indebtedness with Bridge Bank in the amount of $5,000.</w:t>
      </w:r>
    </w:p>
    <w:p>
      <w:pPr>
        <w:spacing w:after="0" w:line="12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On September 23, 2022, the Company closed on the second tranche of the Note Financing in the amount of $20,000 (the “Second Closing Note”), which has an Initial Conversion Price equal to $7.89 per share, which was calculated based on a 20% premium of the 5-day VWAP immediately prior to September 20, 2022, which was the date the Company obtained FDA approval of PEDMARK.</w:t>
      </w:r>
    </w:p>
    <w:p>
      <w:pPr>
        <w:spacing w:after="0" w:line="119"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SPA provided that subsequent to the funding of the Second Closing Note, and before December 31, 2023, the Company could draw up to $20,000 of additional financing under the SPA, in one or more tranches of $10,000 upon mutual agreement of the Company and the Investor (the “Subsequent Closing Notes”). The Subsequent Closing Notes will be convertible at a price per share equal to $7.89 per share, which price is calculated on the same basis as for the Second Closing Note.</w:t>
      </w:r>
    </w:p>
    <w:p>
      <w:pPr>
        <w:spacing w:after="0" w:line="119"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A commitment fee of 2.0% of the Notes was payable under the SPA, which was paid by the Company issuing the Investor warrants to purchase 110,996 of the Company’s common shares (one half issued at the closing of the First Closing Note and the other half issued at the closing of the Second Closing Note).The warrants are exercisable at a price per share of $8.11 and have a term of five years from the date of the grant.</w:t>
      </w:r>
    </w:p>
    <w:p>
      <w:pPr>
        <w:spacing w:after="0" w:line="119"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On December 4, 2023, the Company closed the third tranche of the Note Financing in the amount of $5,000 (the “Third Closing Note”) which is convertible at a price equal to $7.89 per share, calculated as a 20% premium of the 5-day VWAP immediately prior to September 20, 2022, which was the date the Company obtained FDA approval of PEDMARK.</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Also on December 4, 2023, the Company entered into a First Amendment to the Securities Purchase Agreement (the “SPA Amendment”) with the Investor, which, among other things, extends the period that the Company may draw the remaining $15,000 under the SPA from December 31, 2023, to December 31, 2024. Subsequent draws are subject to mutual agreement of the Company and the Investor and will be represented by Notes that will also be convertible at a price equal to $7.89 per share.</w:t>
      </w:r>
    </w:p>
    <w:p>
      <w:pPr>
        <w:spacing w:after="0" w:line="112" w:lineRule="exact"/>
        <w:rPr>
          <w:sz w:val="20"/>
          <w:szCs w:val="20"/>
          <w:color w:val="auto"/>
        </w:rPr>
      </w:pPr>
    </w:p>
    <w:p>
      <w:pPr>
        <w:jc w:val="both"/>
        <w:ind w:left="20" w:right="39"/>
        <w:spacing w:after="0"/>
        <w:rPr>
          <w:sz w:val="20"/>
          <w:szCs w:val="20"/>
          <w:color w:val="auto"/>
        </w:rPr>
      </w:pPr>
      <w:r>
        <w:rPr>
          <w:rFonts w:ascii="Times New Roman" w:cs="Times New Roman" w:eastAsia="Times New Roman" w:hAnsi="Times New Roman"/>
          <w:sz w:val="12"/>
          <w:szCs w:val="12"/>
          <w:color w:val="auto"/>
        </w:rPr>
        <w:t>On March 17, 2024, the Company announced it had entered into an exclusive licensing agreement with Norgine Pharma UK Limited (“Norgine”) to commercialize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(EU brand name for PEDMARK) in Europe, New Zealand and Australia. The licensing agreement provided Fennec with approximately $43,200 up front and may provide Fennec with up to approximately $230,000 in milestone and royalty payments in the future. On July 26, 2024, Norgine and Fennec amended the exclusive licensing agreement. The amended agreement maintains all principal payment terms with the primary addition of Norgine assuming responsibility for packaging and labeling of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w:t>
      </w:r>
    </w:p>
    <w:p>
      <w:pPr>
        <w:spacing w:after="0" w:line="60"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The Company believes current funds provide sufficient funding for the Company to carry out its planned activities, including the continuation of commercialization efforts of PEDMARK, for at least the next twelve months and into 2026.</w:t>
      </w:r>
    </w:p>
    <w:p>
      <w:pPr>
        <w:spacing w:after="0" w:line="111"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These financial statements do not reflect the potentially material adjustments in the carrying values of assets and liabilities, the reported expenses, and the balance sheet classifications used, that would be necessary if the going concern assumption were not appropriate.</w:t>
      </w:r>
    </w:p>
    <w:p>
      <w:pPr>
        <w:spacing w:after="0" w:line="116" w:lineRule="exact"/>
        <w:rPr>
          <w:sz w:val="20"/>
          <w:szCs w:val="20"/>
          <w:color w:val="auto"/>
        </w:rPr>
      </w:pPr>
    </w:p>
    <w:p>
      <w:pPr>
        <w:ind w:left="20" w:right="7199" w:firstLine="2"/>
        <w:spacing w:after="0" w:line="412" w:lineRule="auto"/>
        <w:tabs>
          <w:tab w:leader="none" w:pos="230"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Basis of Presentation</w:t>
      </w:r>
    </w:p>
    <w:p>
      <w:pPr>
        <w:spacing w:after="0" w:line="34"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The accompanying unaudited interim condensed consolidated financial statements have been prepared in accordance with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condensed consolidated financial statements and notes filed with the Securities and Exchange Commission (“SEC”) in the Company’s Annual Report on Form 10-K for the year ended December 31, 2023. The Company’s accounting policies are consistent with those presented in the audited consolidated financial statements included in the Annual Report on Form 10-K for the year ended December 31, 2023. These unaudited interim condensed consolidated financial statements have been prepared in U.S. dollars. All amounts presented are in thousands except for per share amounts.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revenue recognition, allowance against trade receivables, measurement of stock-based compensation and estimates of the Company’s capital requirements over the next twelve months from the date of issuance of the consolidated financial statements. Actual results could differ from those estimates.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Segment and Geographic Information</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As of September 30, 2024, the Company had an operating lease in Ireland which is scheduled to terminate on January 31, 2025. This is the only asset currently located outside of the United States.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82"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Under the Company’s stock-based compensation programs, the Company periodically grants stock options and restricted stock to employees, directors and consultants. The Company also issues shares under an employee stock purchase plan. The fair value of each award is recognized in the Company’s statements of operations over the requisite service period for such award.</w:t>
      </w:r>
    </w:p>
    <w:p>
      <w:pPr>
        <w:spacing w:after="0" w:line="119"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The Company uses the Black-Scholes option pricing model to value stock option awards without market conditions, which requires the Company to make certain assumptions regarding the expected volatility of its common stock price, the expected term of the option grants, the risk-free interest rate and the dividend yield with respect to its common stock. The Company calculates volatility using its historical stock price data. Due to the lack of the Company’s own historical data, the Company elected to use the “simplified” method for “plain vanilla” options to estimate the expected term of the Company’s stock option grants. Under this approach, the weighted-average expected life is presumed to be the average of the vesting term and the contractual term of the option. The risk-free interest rate used for each grant is based on the United States Treasury yield curve in effect at the time of grant for instruments with a similar expected life. The Company utilizes a dividend yield of zero based on the fact that the Company has never paid cash dividends and, at present, has no intention to pay cash dividends.</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Inventory</w:t>
      </w:r>
    </w:p>
    <w:p>
      <w:pPr>
        <w:spacing w:after="0" w:line="154"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to capitalize inventory costs for a product based on, among other factors, status of regulatory approval, information regarding safety, efficacy and expectations relating to commercial sales and recoverability of costs. Capitalized costs of inventories mainly include third party manufacturing, logistics and distribution costs. The Company assesses recoverability of inventory each reporting period to determine any write down to net realizable value resulting from excess or obsolete inventories. The manufacturing costs for PEDMARK prior to regulatory approval were not capitalized as inventory but were expensed as research and development costs. The Company expensed pre-launch inventory as it could not reasonably anticipate FDA approval of PEDMARK.</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154"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License Agreements</w:t>
      </w:r>
    </w:p>
    <w:p>
      <w:pPr>
        <w:spacing w:after="0" w:line="154"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Company generates revenue from license or similar agreements with pharmaceutical companies for the commercialization of its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spacing w:after="0" w:line="119"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If a license to the Company's intellectual property is determined to be distinct from the other performance obligations identified in the arrangement, the Company recognizes the transaction price allocated to the license as revenue upon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22"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2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Costs to Obtain Contract</w:t>
      </w:r>
    </w:p>
    <w:p>
      <w:pPr>
        <w:spacing w:after="0" w:line="154"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As the majority of the Company's contracts are short-term in nature, sales commissions are generally expensed when incurred as the amortization period would have been less than one year. These costs are recorded within selling and marketing expenses in the condensed consolidated statements of operations. For contracts that extend beyond one year, the incremental expense recognition matches the recognition of related revenue.</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Net Product Revenue</w:t>
      </w:r>
    </w:p>
    <w:p>
      <w:pPr>
        <w:spacing w:after="0" w:line="154"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On September 20, 2022, the FDA approved PEDMARK in the United States to reduce the risk of ototoxicity associated with cisplatin in pediatric patients one month of age and older with localized, non-metastatic solid tumors. PEDMARK became commercially available on October 17, 2022. PEDMARK is the Company’s first and only commercial product. Certain specialty distributors of the Company subsequently resell the Company’s products to health care providers and patients. In addition to distribution agreements with these customers, the Company enters into arrangements with health care providers and payors that provide for government-mandated and/or privately negotiated rebates, chargebacks and discounts with respect to the purchase of the Company’s products. Revenues from product sales are recognized when the customer obtains control of the Company’s product, which occurs at a point in time, typically upon delivery to the customer.</w:t>
      </w:r>
    </w:p>
    <w:p>
      <w:pPr>
        <w:spacing w:after="0" w:line="118" w:lineRule="exact"/>
        <w:rPr>
          <w:sz w:val="20"/>
          <w:szCs w:val="20"/>
          <w:color w:val="auto"/>
        </w:rPr>
      </w:pPr>
    </w:p>
    <w:p>
      <w:pPr>
        <w:jc w:val="both"/>
        <w:ind w:left="20" w:right="39"/>
        <w:spacing w:after="0" w:line="220" w:lineRule="auto"/>
        <w:rPr>
          <w:sz w:val="20"/>
          <w:szCs w:val="20"/>
          <w:color w:val="auto"/>
        </w:rPr>
      </w:pPr>
      <w:r>
        <w:rPr>
          <w:rFonts w:ascii="Times New Roman" w:cs="Times New Roman" w:eastAsia="Times New Roman" w:hAnsi="Times New Roman"/>
          <w:sz w:val="12"/>
          <w:szCs w:val="12"/>
          <w:color w:val="auto"/>
        </w:rPr>
        <w:t>Further, on March 17, 2024, the Company announced it had entered into an exclusive licensing agreement with Norgine to commercialize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(EU brand name for PEDMARK) in Europe, New Zealand and Australia.</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Product Sales Discounts and Allowances</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The Company records revenues from product sales at the net sales price (transaction price), which includes estimates of variable consideration for which reserves are established primarily from discounts, chargebacks, rebates, co-pay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current liability. Where appropriate, these estimates take into consideration a range of possible outcomes that are probability-weighted for relevant factors such as current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jc w:val="both"/>
        <w:ind w:left="20" w:right="39"/>
        <w:spacing w:after="0" w:line="237" w:lineRule="auto"/>
        <w:rPr>
          <w:sz w:val="20"/>
          <w:szCs w:val="20"/>
          <w:color w:val="auto"/>
        </w:rPr>
      </w:pPr>
      <w:r>
        <w:rPr>
          <w:rFonts w:ascii="Times New Roman" w:cs="Times New Roman" w:eastAsia="Times New Roman" w:hAnsi="Times New Roman"/>
          <w:sz w:val="12"/>
          <w:szCs w:val="12"/>
          <w:color w:val="auto"/>
        </w:rPr>
        <w:t>contractual and statutory requirements, specific known market events and trends, industry data, forecasted customer buying and payment patterns, and the Company’s historical experience that will develop over time as PEDMARK and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(European branded product name) is the Company’s first and only commercial product. Overall, these reserves reflect the Company’s best estimates of the amount of consideration to which it is entitled based on the terms of 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spacing w:after="0" w:line="132" w:lineRule="exact"/>
        <w:rPr>
          <w:sz w:val="20"/>
          <w:szCs w:val="20"/>
          <w:color w:val="auto"/>
        </w:rPr>
      </w:pPr>
    </w:p>
    <w:p>
      <w:pPr>
        <w:jc w:val="both"/>
        <w:ind w:left="20" w:right="3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Chargebacks: </w:t>
      </w:r>
      <w:r>
        <w:rPr>
          <w:rFonts w:ascii="Times New Roman" w:cs="Times New Roman" w:eastAsia="Times New Roman" w:hAnsi="Times New Roman"/>
          <w:sz w:val="12"/>
          <w:szCs w:val="12"/>
          <w:color w:val="auto"/>
        </w:rPr>
        <w:t>Chargebacks are discounts that occur when contracted customers purchase directly from a specialty distributor. Contracted customers, which currently consist of Public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spacing w:after="0" w:line="120" w:lineRule="exact"/>
        <w:rPr>
          <w:sz w:val="20"/>
          <w:szCs w:val="20"/>
          <w:color w:val="auto"/>
        </w:rPr>
      </w:pPr>
    </w:p>
    <w:p>
      <w:pPr>
        <w:jc w:val="both"/>
        <w:ind w:left="20" w:right="3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Discounts for Prompt Payment: </w:t>
      </w:r>
      <w:r>
        <w:rPr>
          <w:rFonts w:ascii="Times New Roman" w:cs="Times New Roman" w:eastAsia="Times New Roman" w:hAnsi="Times New Roman"/>
          <w:sz w:val="12"/>
          <w:szCs w:val="12"/>
          <w:color w:val="auto"/>
        </w:rPr>
        <w:t>Customers typically receive a small discount for prompt payment. The Company expects its customers will earn 100% of their prompt payment discounts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therefore, the Company deducts the full amount of these discounts from total product sales when revenues are recognized.</w:t>
      </w:r>
    </w:p>
    <w:p>
      <w:pPr>
        <w:spacing w:after="0" w:line="107"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Rebates: </w:t>
      </w:r>
      <w:r>
        <w:rPr>
          <w:rFonts w:ascii="Times New Roman" w:cs="Times New Roman" w:eastAsia="Times New Roman" w:hAnsi="Times New Roman"/>
          <w:sz w:val="12"/>
          <w:szCs w:val="12"/>
          <w:color w:val="auto"/>
        </w:rPr>
        <w:t>Allowances for rebates include mandated discounts under the Medicaid Drug Rebate Program and other government programs. Rebate amounts owed after the final dispensing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payor data received from the specialty distributors and historical utilization rates that will develop over time, as PEDMARK is the Company’s first and only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spacing w:after="0" w:line="126" w:lineRule="exact"/>
        <w:rPr>
          <w:sz w:val="20"/>
          <w:szCs w:val="20"/>
          <w:color w:val="auto"/>
        </w:rPr>
      </w:pPr>
    </w:p>
    <w:p>
      <w:pPr>
        <w:jc w:val="both"/>
        <w:ind w:left="20" w:right="3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Co-payment Assistance: </w:t>
      </w:r>
      <w:r>
        <w:rPr>
          <w:rFonts w:ascii="Times New Roman" w:cs="Times New Roman" w:eastAsia="Times New Roman" w:hAnsi="Times New Roman"/>
          <w:sz w:val="12"/>
          <w:szCs w:val="12"/>
          <w:color w:val="auto"/>
        </w:rPr>
        <w:t>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w:t>
      </w:r>
    </w:p>
    <w:p>
      <w:pPr>
        <w:spacing w:after="0" w:line="107" w:lineRule="exact"/>
        <w:rPr>
          <w:sz w:val="20"/>
          <w:szCs w:val="20"/>
          <w:color w:val="auto"/>
        </w:rPr>
      </w:pPr>
    </w:p>
    <w:p>
      <w:pPr>
        <w:jc w:val="both"/>
        <w:ind w:left="20" w:right="3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Other Customer Credits: </w:t>
      </w:r>
      <w:r>
        <w:rPr>
          <w:rFonts w:ascii="Times New Roman" w:cs="Times New Roman" w:eastAsia="Times New Roman" w:hAnsi="Times New Roman"/>
          <w:sz w:val="12"/>
          <w:szCs w:val="12"/>
          <w:color w:val="auto"/>
        </w:rPr>
        <w:t>The Company pays fees to its customers for account management, data management and other administrative services. To the extent the services received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distinct from the sale of products to its customers, the Company classifies these payments in selling and marketing expenses in its condensed consolidated statements of operations.</w:t>
      </w:r>
    </w:p>
    <w:p>
      <w:pPr>
        <w:spacing w:after="0" w:line="107" w:lineRule="exact"/>
        <w:rPr>
          <w:sz w:val="20"/>
          <w:szCs w:val="20"/>
          <w:color w:val="auto"/>
        </w:rPr>
      </w:pPr>
    </w:p>
    <w:p>
      <w:pPr>
        <w:jc w:val="both"/>
        <w:ind w:left="20" w:right="3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Distribution and Other Fees: </w:t>
      </w:r>
      <w:r>
        <w:rPr>
          <w:rFonts w:ascii="Times New Roman" w:cs="Times New Roman" w:eastAsia="Times New Roman" w:hAnsi="Times New Roman"/>
          <w:sz w:val="12"/>
          <w:szCs w:val="12"/>
          <w:color w:val="auto"/>
        </w:rPr>
        <w:t>The Company pays distribution and other fees to certain customers in connection with the sales of PEDMARK. The Company records distribution and 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fees paid to its customers as a reduction of revenue, unless the payment is for a distinct good or service from the customer and the Company can reasonably estimate the fair value of the goods or services received. If both conditions are met, the Company records the consideration paid to the customer as an operating expense. These costs are typically known at the time of sale, resulting in minimal adjustments subsequent to the period of sale.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summarizes net product revenues for PEDMARK earned during the three and nine months ended September 30, 2024, and 2023, respectively: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4"/>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625"/>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52"/>
        </w:trPr>
        <w:tc>
          <w:tcPr>
            <w:tcW w:w="4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8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80" w:type="dxa"/>
            <w:vAlign w:val="bottom"/>
          </w:tcPr>
          <w:p>
            <w:pPr>
              <w:spacing w:after="0"/>
              <w:rPr>
                <w:sz w:val="13"/>
                <w:szCs w:val="13"/>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143"/>
        </w:trPr>
        <w:tc>
          <w:tcPr>
            <w:tcW w:w="4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Pr>
          <w:p>
            <w:pPr>
              <w:spacing w:after="0"/>
              <w:rPr>
                <w:sz w:val="12"/>
                <w:szCs w:val="12"/>
                <w:color w:val="auto"/>
              </w:rPr>
            </w:pPr>
          </w:p>
        </w:tc>
        <w:tc>
          <w:tcPr>
            <w:tcW w:w="860" w:type="dxa"/>
            <w:vAlign w:val="bottom"/>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4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Product revenues:</w:t>
            </w:r>
          </w:p>
        </w:tc>
        <w:tc>
          <w:tcPr>
            <w:tcW w:w="3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Gross product revenues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7,986</w:t>
            </w:r>
          </w:p>
        </w:tc>
        <w:tc>
          <w:tcPr>
            <w:tcW w:w="14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6,919</w:t>
            </w:r>
          </w:p>
        </w:tc>
        <w:tc>
          <w:tcPr>
            <w:tcW w:w="12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27,008</w:t>
            </w:r>
          </w:p>
        </w:tc>
        <w:tc>
          <w:tcPr>
            <w:tcW w:w="100" w:type="dxa"/>
            <w:vAlign w:val="bottom"/>
          </w:tcPr>
          <w:p>
            <w:pPr>
              <w:spacing w:after="0"/>
              <w:rPr>
                <w:sz w:val="13"/>
                <w:szCs w:val="13"/>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12,525</w:t>
            </w:r>
          </w:p>
        </w:tc>
      </w:tr>
      <w:tr>
        <w:trPr>
          <w:trHeight w:val="153"/>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Discounts and allowances</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(1,012)</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(404)</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(5,353)</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w:t>
            </w:r>
          </w:p>
        </w:tc>
      </w:tr>
      <w:tr>
        <w:trPr>
          <w:trHeight w:val="140"/>
        </w:trPr>
        <w:tc>
          <w:tcPr>
            <w:tcW w:w="4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product revenues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6,974</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6,515</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21,655</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11,517</w:t>
            </w:r>
          </w:p>
        </w:tc>
      </w:tr>
    </w:tbl>
    <w:p>
      <w:pPr>
        <w:spacing w:after="0" w:line="286"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For the three and nine months ended September 30, 2024, the Company had one and four distributors that each represented more than 10% of net sales, respectively. For the three and nine months ended September 30, 2023, the Company had two distributors that each represented more than 10% of net sales.</w:t>
      </w:r>
    </w:p>
    <w:p>
      <w:pPr>
        <w:spacing w:after="0" w:line="111"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The activities and ending allowance balances for each significant category of discounts and allowances for PEDMARK (which constitute variable consideration) for the nine months ended September 30, 2024, were as follows: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left="206"/>
              <w:spacing w:after="0"/>
              <w:rPr>
                <w:sz w:val="20"/>
                <w:szCs w:val="20"/>
                <w:color w:val="auto"/>
              </w:rPr>
            </w:pPr>
            <w:r>
              <w:rPr>
                <w:rFonts w:ascii="Times New Roman" w:cs="Times New Roman" w:eastAsia="Times New Roman" w:hAnsi="Times New Roman"/>
                <w:sz w:val="10"/>
                <w:szCs w:val="10"/>
                <w:b w:val="1"/>
                <w:bCs w:val="1"/>
                <w:color w:val="auto"/>
                <w:w w:val="95"/>
              </w:rPr>
              <w:t>Chargebacks,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Rebates, Customer</w:t>
            </w: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jc w:val="center"/>
              <w:ind w:left="226"/>
              <w:spacing w:after="0" w:line="99" w:lineRule="exact"/>
              <w:rPr>
                <w:sz w:val="20"/>
                <w:szCs w:val="20"/>
                <w:color w:val="auto"/>
              </w:rPr>
            </w:pPr>
            <w:r>
              <w:rPr>
                <w:rFonts w:ascii="Times New Roman" w:cs="Times New Roman" w:eastAsia="Times New Roman" w:hAnsi="Times New Roman"/>
                <w:sz w:val="10"/>
                <w:szCs w:val="10"/>
                <w:b w:val="1"/>
                <w:bCs w:val="1"/>
                <w:color w:val="auto"/>
                <w:w w:val="94"/>
              </w:rPr>
              <w:t>Discounts for</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7"/>
              </w:rPr>
              <w:t>Fees/Credits</w:t>
            </w: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20" w:type="dxa"/>
            <w:vAlign w:val="bottom"/>
          </w:tcPr>
          <w:p>
            <w:pPr>
              <w:jc w:val="center"/>
              <w:ind w:left="226"/>
              <w:spacing w:after="0" w:line="99" w:lineRule="exact"/>
              <w:rPr>
                <w:sz w:val="20"/>
                <w:szCs w:val="20"/>
                <w:color w:val="auto"/>
              </w:rPr>
            </w:pPr>
            <w:r>
              <w:rPr>
                <w:rFonts w:ascii="Times New Roman" w:cs="Times New Roman" w:eastAsia="Times New Roman" w:hAnsi="Times New Roman"/>
                <w:sz w:val="10"/>
                <w:szCs w:val="10"/>
                <w:b w:val="1"/>
                <w:bCs w:val="1"/>
                <w:color w:val="auto"/>
                <w:w w:val="94"/>
              </w:rPr>
              <w:t>Prompt pay and</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and Co-Pay</w:t>
            </w:r>
          </w:p>
        </w:tc>
        <w:tc>
          <w:tcPr>
            <w:tcW w:w="320" w:type="dxa"/>
            <w:vAlign w:val="bottom"/>
          </w:tcPr>
          <w:p>
            <w:pPr>
              <w:spacing w:after="0"/>
              <w:rPr>
                <w:sz w:val="8"/>
                <w:szCs w:val="8"/>
                <w:color w:val="auto"/>
              </w:rPr>
            </w:pPr>
          </w:p>
        </w:tc>
        <w:tc>
          <w:tcPr>
            <w:tcW w:w="960" w:type="dxa"/>
            <w:vAlign w:val="bottom"/>
            <w:vMerge w:val="restart"/>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0" w:type="dxa"/>
            <w:vAlign w:val="bottom"/>
          </w:tcPr>
          <w:p>
            <w:pPr>
              <w:spacing w:after="0"/>
              <w:rPr>
                <w:sz w:val="1"/>
                <w:szCs w:val="1"/>
                <w:color w:val="auto"/>
              </w:rPr>
            </w:pPr>
          </w:p>
        </w:tc>
      </w:tr>
      <w:tr>
        <w:trPr>
          <w:trHeight w:val="115"/>
        </w:trPr>
        <w:tc>
          <w:tcPr>
            <w:tcW w:w="4720" w:type="dxa"/>
            <w:vAlign w:val="bottom"/>
            <w:gridSpan w:val="2"/>
            <w:vMerge w:val="continue"/>
          </w:tcPr>
          <w:p>
            <w:pPr>
              <w:spacing w:after="0"/>
              <w:rPr>
                <w:sz w:val="10"/>
                <w:szCs w:val="10"/>
                <w:color w:val="auto"/>
              </w:rPr>
            </w:pPr>
          </w:p>
        </w:tc>
        <w:tc>
          <w:tcPr>
            <w:tcW w:w="1020" w:type="dxa"/>
            <w:vAlign w:val="bottom"/>
          </w:tcPr>
          <w:p>
            <w:pPr>
              <w:jc w:val="center"/>
              <w:ind w:left="226"/>
              <w:spacing w:after="0"/>
              <w:rPr>
                <w:sz w:val="20"/>
                <w:szCs w:val="20"/>
                <w:color w:val="auto"/>
              </w:rPr>
            </w:pPr>
            <w:r>
              <w:rPr>
                <w:rFonts w:ascii="Times New Roman" w:cs="Times New Roman" w:eastAsia="Times New Roman" w:hAnsi="Times New Roman"/>
                <w:sz w:val="10"/>
                <w:szCs w:val="10"/>
                <w:b w:val="1"/>
                <w:bCs w:val="1"/>
                <w:color w:val="auto"/>
                <w:w w:val="94"/>
              </w:rPr>
              <w:t>Other allowances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8"/>
              </w:rPr>
              <w:t>Assistance</w:t>
            </w:r>
          </w:p>
        </w:tc>
        <w:tc>
          <w:tcPr>
            <w:tcW w:w="3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5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2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ind w:right="8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430</w:t>
            </w: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795</w:t>
            </w:r>
          </w:p>
        </w:tc>
        <w:tc>
          <w:tcPr>
            <w:tcW w:w="0" w:type="dxa"/>
            <w:vAlign w:val="bottom"/>
          </w:tcPr>
          <w:p>
            <w:pPr>
              <w:spacing w:after="0"/>
              <w:rPr>
                <w:sz w:val="1"/>
                <w:szCs w:val="1"/>
                <w:color w:val="auto"/>
              </w:rPr>
            </w:pPr>
          </w:p>
        </w:tc>
      </w:tr>
      <w:tr>
        <w:trPr>
          <w:trHeight w:val="133"/>
        </w:trPr>
        <w:tc>
          <w:tcPr>
            <w:tcW w:w="47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Provision related to sales made in:</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Current period</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1,992</w:t>
            </w:r>
          </w:p>
        </w:tc>
        <w:tc>
          <w:tcPr>
            <w:tcW w:w="0" w:type="dxa"/>
            <w:vAlign w:val="bottom"/>
          </w:tcPr>
          <w:p>
            <w:pPr>
              <w:spacing w:after="0"/>
              <w:rPr>
                <w:sz w:val="1"/>
                <w:szCs w:val="1"/>
                <w:color w:val="auto"/>
              </w:rPr>
            </w:pPr>
          </w:p>
        </w:tc>
      </w:tr>
      <w:tr>
        <w:trPr>
          <w:trHeight w:val="144"/>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Prior periods</w:t>
            </w:r>
          </w:p>
        </w:tc>
        <w:tc>
          <w:tcPr>
            <w:tcW w:w="102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and customer credits issued</w:t>
            </w:r>
          </w:p>
        </w:tc>
        <w:tc>
          <w:tcPr>
            <w:tcW w:w="10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2"/>
              </w:rPr>
              <w:t>(497)</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(104)</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w:t>
            </w:r>
          </w:p>
        </w:tc>
        <w:tc>
          <w:tcPr>
            <w:tcW w:w="0" w:type="dxa"/>
            <w:vAlign w:val="bottom"/>
          </w:tcPr>
          <w:p>
            <w:pPr>
              <w:spacing w:after="0"/>
              <w:rPr>
                <w:sz w:val="1"/>
                <w:szCs w:val="1"/>
                <w:color w:val="auto"/>
              </w:rPr>
            </w:pPr>
          </w:p>
        </w:tc>
      </w:tr>
      <w:tr>
        <w:trPr>
          <w:trHeight w:val="133"/>
        </w:trPr>
        <w:tc>
          <w:tcPr>
            <w:tcW w:w="472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March 31, 2024</w:t>
            </w:r>
          </w:p>
        </w:tc>
        <w:tc>
          <w:tcPr>
            <w:tcW w:w="1020" w:type="dxa"/>
            <w:vAlign w:val="bottom"/>
            <w:tcBorders>
              <w:top w:val="single" w:sz="8" w:color="auto"/>
              <w:bottom w:val="single" w:sz="8" w:color="auto"/>
            </w:tcBorders>
          </w:tcPr>
          <w:p>
            <w:pPr>
              <w:jc w:val="right"/>
              <w:ind w:right="8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220</w:t>
            </w:r>
          </w:p>
        </w:tc>
        <w:tc>
          <w:tcPr>
            <w:tcW w:w="2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1,966</w:t>
            </w:r>
          </w:p>
        </w:tc>
        <w:tc>
          <w:tcPr>
            <w:tcW w:w="20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w:t>
            </w:r>
          </w:p>
        </w:tc>
        <w:tc>
          <w:tcPr>
            <w:tcW w:w="0" w:type="dxa"/>
            <w:vAlign w:val="bottom"/>
          </w:tcPr>
          <w:p>
            <w:pPr>
              <w:spacing w:after="0"/>
              <w:rPr>
                <w:sz w:val="1"/>
                <w:szCs w:val="1"/>
                <w:color w:val="auto"/>
              </w:rPr>
            </w:pPr>
          </w:p>
        </w:tc>
      </w:tr>
      <w:tr>
        <w:trPr>
          <w:trHeight w:val="133"/>
        </w:trPr>
        <w:tc>
          <w:tcPr>
            <w:tcW w:w="47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Provision related to sales made in:</w:t>
            </w: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Current period</w:t>
            </w:r>
          </w:p>
        </w:tc>
        <w:tc>
          <w:tcPr>
            <w:tcW w:w="10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2,644</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2,819</w:t>
            </w:r>
          </w:p>
        </w:tc>
        <w:tc>
          <w:tcPr>
            <w:tcW w:w="0" w:type="dxa"/>
            <w:vAlign w:val="bottom"/>
          </w:tcPr>
          <w:p>
            <w:pPr>
              <w:spacing w:after="0"/>
              <w:rPr>
                <w:sz w:val="1"/>
                <w:szCs w:val="1"/>
                <w:color w:val="auto"/>
              </w:rPr>
            </w:pPr>
          </w:p>
        </w:tc>
      </w:tr>
      <w:tr>
        <w:trPr>
          <w:trHeight w:val="144"/>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Prior periods</w:t>
            </w:r>
          </w:p>
        </w:tc>
        <w:tc>
          <w:tcPr>
            <w:tcW w:w="10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Payments and customer credits issued</w:t>
            </w:r>
          </w:p>
        </w:tc>
        <w:tc>
          <w:tcPr>
            <w:tcW w:w="10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(2,614)</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(2,680)</w:t>
            </w:r>
          </w:p>
        </w:tc>
        <w:tc>
          <w:tcPr>
            <w:tcW w:w="0" w:type="dxa"/>
            <w:vAlign w:val="bottom"/>
          </w:tcPr>
          <w:p>
            <w:pPr>
              <w:spacing w:after="0"/>
              <w:rPr>
                <w:sz w:val="1"/>
                <w:szCs w:val="1"/>
                <w:color w:val="auto"/>
              </w:rPr>
            </w:pPr>
          </w:p>
        </w:tc>
      </w:tr>
      <w:tr>
        <w:trPr>
          <w:trHeight w:val="133"/>
        </w:trPr>
        <w:tc>
          <w:tcPr>
            <w:tcW w:w="472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June 30, 2024</w:t>
            </w:r>
          </w:p>
        </w:tc>
        <w:tc>
          <w:tcPr>
            <w:tcW w:w="1020" w:type="dxa"/>
            <w:vAlign w:val="bottom"/>
            <w:tcBorders>
              <w:top w:val="single" w:sz="8" w:color="auto"/>
              <w:bottom w:val="single" w:sz="8" w:color="auto"/>
            </w:tcBorders>
            <w:shd w:val="clear" w:color="auto" w:fill="CCEEFF"/>
          </w:tcPr>
          <w:p>
            <w:pPr>
              <w:jc w:val="right"/>
              <w:ind w:right="8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1,996</w:t>
            </w: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2,325</w:t>
            </w:r>
          </w:p>
        </w:tc>
        <w:tc>
          <w:tcPr>
            <w:tcW w:w="0" w:type="dxa"/>
            <w:vAlign w:val="bottom"/>
          </w:tcPr>
          <w:p>
            <w:pPr>
              <w:spacing w:after="0"/>
              <w:rPr>
                <w:sz w:val="1"/>
                <w:szCs w:val="1"/>
                <w:color w:val="auto"/>
              </w:rPr>
            </w:pPr>
          </w:p>
        </w:tc>
      </w:tr>
      <w:tr>
        <w:trPr>
          <w:trHeight w:val="133"/>
        </w:trPr>
        <w:tc>
          <w:tcPr>
            <w:tcW w:w="47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Provision related to sales made in:</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Current period</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1,165</w:t>
            </w:r>
          </w:p>
        </w:tc>
        <w:tc>
          <w:tcPr>
            <w:tcW w:w="0" w:type="dxa"/>
            <w:vAlign w:val="bottom"/>
          </w:tcPr>
          <w:p>
            <w:pPr>
              <w:spacing w:after="0"/>
              <w:rPr>
                <w:sz w:val="1"/>
                <w:szCs w:val="1"/>
                <w:color w:val="auto"/>
              </w:rPr>
            </w:pPr>
          </w:p>
        </w:tc>
      </w:tr>
      <w:tr>
        <w:trPr>
          <w:trHeight w:val="144"/>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Prior periods</w:t>
            </w:r>
          </w:p>
        </w:tc>
        <w:tc>
          <w:tcPr>
            <w:tcW w:w="102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and customer credits issued</w:t>
            </w:r>
          </w:p>
        </w:tc>
        <w:tc>
          <w:tcPr>
            <w:tcW w:w="10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2"/>
              </w:rPr>
              <w:t>(834)</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(959)</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(1,793)</w:t>
            </w:r>
          </w:p>
        </w:tc>
        <w:tc>
          <w:tcPr>
            <w:tcW w:w="0" w:type="dxa"/>
            <w:vAlign w:val="bottom"/>
          </w:tcPr>
          <w:p>
            <w:pPr>
              <w:spacing w:after="0"/>
              <w:rPr>
                <w:sz w:val="1"/>
                <w:szCs w:val="1"/>
                <w:color w:val="auto"/>
              </w:rPr>
            </w:pPr>
          </w:p>
        </w:tc>
      </w:tr>
      <w:tr>
        <w:trPr>
          <w:trHeight w:val="140"/>
        </w:trPr>
        <w:tc>
          <w:tcPr>
            <w:tcW w:w="47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September 30, 2024</w:t>
            </w:r>
          </w:p>
        </w:tc>
        <w:tc>
          <w:tcPr>
            <w:tcW w:w="1020" w:type="dxa"/>
            <w:vAlign w:val="bottom"/>
            <w:tcBorders>
              <w:top w:val="single" w:sz="8" w:color="auto"/>
              <w:bottom w:val="single" w:sz="8" w:color="auto"/>
            </w:tcBorders>
          </w:tcPr>
          <w:p>
            <w:pPr>
              <w:jc w:val="right"/>
              <w:ind w:right="8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332</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1,365</w:t>
            </w:r>
          </w:p>
        </w:tc>
        <w:tc>
          <w:tcPr>
            <w:tcW w:w="2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1,697</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The allowances for chargebacks, fees due to customers, rebates and discounts for prompt payment are recorded as a contra-asset to accounts receivable, while Medicaid rebates and return allowances are in accrued liabilities in the accompanying condensed consolidated balance sheets.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Trade Receivables</w:t>
      </w:r>
    </w:p>
    <w:p>
      <w:pPr>
        <w:spacing w:after="0" w:line="154"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Company records gross trade receivables at the time of product sale to its customers. Amounts estimated for the associated chargebacks, cash discounts for prompt payment and any allowances for credit losses are booked as a reserve against accounts receivable and reduction of revenue. The Company determines its allowance methodology by pooling receivable balances at the customer level. The Company considers various factors, including loss history,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individual credit risk associated to each customer, and the current and future condition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a customer. Customers in the United States are specialty distributors, and accordingly, the Company considers the risk of potential credit losses to be low. Sales to non-specialty distributors outside the United States have greater potential for losses. It is the policy of the Company to use a sliding scale to establish a reserve of its gross sales to non-specialty distributors, based on the aging category, in combination with management's specific review of each past due customer balance. The Company had a balance in allowance for credit losses of $4,971 as of September 30, 2024.</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Cost of Products Sold</w:t>
      </w:r>
    </w:p>
    <w:p>
      <w:pPr>
        <w:spacing w:after="0" w:line="154" w:lineRule="exact"/>
        <w:rPr>
          <w:sz w:val="20"/>
          <w:szCs w:val="20"/>
          <w:color w:val="auto"/>
        </w:rPr>
      </w:pPr>
    </w:p>
    <w:p>
      <w:pPr>
        <w:jc w:val="both"/>
        <w:ind w:left="20" w:right="119"/>
        <w:spacing w:after="0" w:line="254" w:lineRule="auto"/>
        <w:rPr>
          <w:sz w:val="20"/>
          <w:szCs w:val="20"/>
          <w:color w:val="auto"/>
        </w:rPr>
      </w:pPr>
      <w:r>
        <w:rPr>
          <w:rFonts w:ascii="Times New Roman" w:cs="Times New Roman" w:eastAsia="Times New Roman" w:hAnsi="Times New Roman"/>
          <w:sz w:val="12"/>
          <w:szCs w:val="12"/>
          <w:color w:val="auto"/>
        </w:rPr>
        <w:t>Cost of products sold is related to the Company's product revenues for PEDMARK and consists primarily of product production costs associated with finished goods inventory and royalties the Company is required to pay to Oregon Health &amp; Science University (“OHSU”) on all net sales of PEDMARK. Cost of products sold also consists of shipping and other third-party logistics and distribution costs for PEDMARK. The Company considered regulatory approval of PEDMARK to be uncertain and product manufactured prior to regulatory approval could not have been sold unless regulatory approval was obtained. As such, the manufacturing costs for PEDMARK incurred prior to regulatory approval were not capitalized as inventory but were expensed as research and development costs. After FDA approval in September 2022, the Company had various lots of PEDMARK in various stages of production in connection with the product launch in the fourth quarter of 2022. As of September 30, 2024, the Company capitalized approximately $1,125 of costs as inventory on the condensed consolidated balance sheet. Of the items capitalized, $377 was capitalized as raw materials, $108 was capitalized as work in process, $640 was capitalized into finished goods.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Cash and Cash Equivalents</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Cash equivalents consist of highly liquid investments with original maturities at the date of purchase of three months or less. The Company places its cash and cash equivalents in investments held by highly rated financial institutions in accordance with its investment policy designed to protect the principal investment. At September 30, 2024, the Company had $40,320 in cash, savings and money market accounts (13,269 at December 31, 2023). While the Company has not experienced any loss or write-down of its money market investments, the amounts it holds in money market accounts are substantially above the $250 amount insured by the FDIC and may lose value.</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Financial Instruments</w:t>
      </w:r>
    </w:p>
    <w:p>
      <w:pPr>
        <w:spacing w:after="0" w:line="154"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Financial instruments recognized on the balance sheets at September 30, 2024 and December 31, 2023 consist of cash and cash equivalents, accounts receivable, accounts payable, accrued liabilities and term loans, the carrying values of which approximate fair value due to their relatively short time to maturity or interest rates that approximate market interest rates. The Company does not hold or issue financial instruments for trading.</w:t>
      </w:r>
    </w:p>
    <w:p>
      <w:pPr>
        <w:spacing w:after="0" w:line="119"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spacing w:after="0" w:line="122"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The policy risks are primarily the opportunity cost of the conservative nature of the allowable investments. The Company has chosen to avoid investments of a trading or speculative nature to preserve cash.</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Common Shares and Warrants</w:t>
      </w:r>
    </w:p>
    <w:p>
      <w:pPr>
        <w:spacing w:after="0" w:line="15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As of September 30, 2024, the Company has 150 warrants with a weighted average strike price of $7.71 outstanding to purchase common shares that have a weighted average life of 3.30 years.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Research and Development Costs and Investment Tax Credits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Research costs, including employee compensation, laboratory fees, lab supplies, and research and testing performed under contract by third parties, are expensed as incurred.</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Development costs, including drug substance costs, clinical study expenses and regulatory expenses are expensed as incurred.</w:t>
      </w:r>
    </w:p>
    <w:p>
      <w:pPr>
        <w:spacing w:after="0" w:line="139"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Concentrations of Credit Risk</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Financial instruments that potentially subject the Company to credit risk primarily consist of cash and cash equivalents, and accounts receivable. The Company maintains deposits in highly rated, federally-insured financial institutions in excess of federally insured limits. The Company’s investment strategy is focused on capital preservation. The Company invests in instruments that meet the high credit quality standards outlined in the Company’s investment policy. This policy also limits the amount of credit exposure to any one issue or type of instrument.</w:t>
      </w:r>
    </w:p>
    <w:p>
      <w:pPr>
        <w:spacing w:after="0" w:line="122"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Company’s trade receivables includes amounts billed to customers for product sales of PEDMARK. In the U.S., the customers are a limited group of specialty distributors, and accordingly, the Company considers the risk of potential credit losses to be low. The Company also sells to a select group of global distributors. These global distributors are established companies and although the Company regards credit losses with these distributors to be remote, it does recognize the potential for credit losses with this group.</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September 30, 2024, we maintained a full valuation allowance against our deferred tax assets.</w:t>
      </w:r>
    </w:p>
    <w:p>
      <w:pPr>
        <w:spacing w:after="0" w:line="119"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provisions of the Financial Accounting Standards Board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Foreign Currency Transactions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U.S. dollar is the functional currency for the Company’s consolidated operations. All gains and losses from currency transactions are included in the results of operations.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Net Income/(Loss) Per Share</w:t>
      </w:r>
    </w:p>
    <w:p>
      <w:pPr>
        <w:spacing w:after="0" w:line="154"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Basic net income/(loss) per share is computed by dividing net loss by the weighted average number of common shares outstanding during the year. Diluted net income/(loss) per share is computed using the same method, except the weighted average number of common shares outstanding includes convertible debentures, restricted stock units, stock options and warrants, if dilutive, as determined using the if-converted method and treasury methods. Accordingly, warrants to purchase 150 of our common shares, restricted share units to purchase 367 of our common shares and options to purchase 5,455 of our common shares at September 30, 2024, were not included in earnings per share. Such warrants, options and convertible notes would have an antidilutive effect. In 2023, warrants to purchase 150 of our common shares and options to purchase 5,005 common shares were excluded from the computation of loss per share as their inclusion would have been antidilutive.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In November 2023, the Financial Accounting Standards Board (“FASB”) issued amended guidance for improvements to reportable segment disclosures (ASU) No. 2023-07, “Segment Reporting (Topic 280): Improvements to Reportable Segment Disclosures,” that requires a public entity disclose significant segment expenses regularly reviewed by the chief operating decision maker (CODM), including public entities with a single reportable segment. The amended guidance is effective for fiscal years beginning January 1, 2024, and interim periods beginning January 1, 2025 and should be applied on a retrospective basis. Early adoption is permitted. The Company is currently evaluating the effect the adoption of this ASU will have on its consolidated financial statements.</w:t>
      </w:r>
    </w:p>
    <w:p>
      <w:pPr>
        <w:spacing w:after="0" w:line="125"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In December 2023, the FASB issued Accounting Standards Update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This guidance will be effective for the annual periods beginning the year ended December 31, 2025. The Company is currently evaluating the effect the adoption of this ASU will have on its consolidated financial statements.</w:t>
      </w:r>
    </w:p>
    <w:p>
      <w:pPr>
        <w:spacing w:after="0" w:line="122"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On March 21, 2024, the FASB issued Accounting Standards Update (ASU) 2024-01, Compensation-Stock Compensation (Topic 718): Scope Application of Profits Interest and Similar Awards, which provides illustrative guidance to help entities determine whether profits interest and similar awards should be accounted for as share-based payment arrangements within the scope of FASB Accounting Standards Codification (FASB ASC) 718, Compensation-Stock Compensation. This guidance will be effective for the annual periods beginning the year ended December 31, 2025. The Company believes that ASU 2024-01 will not have a material impact on the Company’s condensed consolidated financial statements.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3.  Net Income/(Loss) Per Share</w:t>
      </w:r>
    </w:p>
    <w:p>
      <w:pPr>
        <w:spacing w:after="0" w:line="154"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Net income/(loss) per common share is presented under two formats: basic net income/(loss) per common share and diluted income/(loss) per common share. Basic net income/(loss) per common share is computed by dividing net income/(loss) attributable to common shareholders by the weighted average number of common shares outstanding during the period. Diluted income/(loss) per common share is computed by dividing net income/(loss) by the weighted average number of common shares outstanding during the period, plus the potentially dilutive impact of common shares equivalents (e.g. convertible debt, stock options and warrants). Dilutive common share equivalents consist of the incremental common shares issuable upon exercise of convertible debt, restricted stock units, stock options and warrants. The following table sets forth the computation of basic and diluted net income/(loss) per share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4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jc w:val="right"/>
              <w:ind w:right="36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Numerator:</w:t>
            </w:r>
          </w:p>
        </w:tc>
        <w:tc>
          <w:tcPr>
            <w:tcW w:w="1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(loss) / income</w:t>
            </w:r>
          </w:p>
        </w:tc>
        <w:tc>
          <w:tcPr>
            <w:tcW w:w="1800" w:type="dxa"/>
            <w:vAlign w:val="bottom"/>
            <w:gridSpan w:val="2"/>
          </w:tcPr>
          <w:p>
            <w:pPr>
              <w:jc w:val="right"/>
              <w:ind w:right="59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(5,735)</w:t>
            </w:r>
          </w:p>
        </w:tc>
        <w:tc>
          <w:tcPr>
            <w:tcW w:w="720" w:type="dxa"/>
            <w:vAlign w:val="bottom"/>
            <w:gridSpan w:val="2"/>
          </w:tcPr>
          <w:p>
            <w:pPr>
              <w:jc w:val="right"/>
              <w:ind w:right="506"/>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(1,867)</w:t>
            </w:r>
          </w:p>
        </w:tc>
        <w:tc>
          <w:tcPr>
            <w:tcW w:w="30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w:t>
            </w:r>
          </w:p>
        </w:tc>
        <w:tc>
          <w:tcPr>
            <w:tcW w:w="40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(13,363)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1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Denominator:</w:t>
            </w: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Weighted-average common shares, basic</w:t>
            </w: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27,371</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Dilutive effect of stock options</w:t>
            </w: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Dilutive effect of warrants</w:t>
            </w: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Weighted-average common shares, diluted</w:t>
            </w:r>
          </w:p>
        </w:tc>
        <w:tc>
          <w:tcPr>
            <w:tcW w:w="1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27,371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26,596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28,015</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26,523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40" w:type="dxa"/>
            <w:vAlign w:val="bottom"/>
            <w:tcBorders>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Net loss per share, basic and diluted</w:t>
            </w:r>
          </w:p>
        </w:tc>
        <w:tc>
          <w:tcPr>
            <w:tcW w:w="1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(0.21)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(0.07)</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0.06</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 w:right="179"/>
        <w:spacing w:after="0" w:line="279" w:lineRule="auto"/>
        <w:rPr>
          <w:sz w:val="20"/>
          <w:szCs w:val="20"/>
          <w:color w:val="auto"/>
        </w:rPr>
      </w:pPr>
      <w:r>
        <w:rPr>
          <w:rFonts w:ascii="Times New Roman" w:cs="Times New Roman" w:eastAsia="Times New Roman" w:hAnsi="Times New Roman"/>
          <w:sz w:val="12"/>
          <w:szCs w:val="12"/>
          <w:color w:val="auto"/>
        </w:rPr>
        <w:t>The following common stock equivalents, outstanding convertible debt, options and warrants were excluded from the computation of diluted net income/(loss) per share for the periods presented because including them would have had an anti-dilutive effect:</w:t>
      </w:r>
    </w:p>
    <w:p>
      <w:pPr>
        <w:spacing w:after="0" w:line="11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bl>
      <w:tblPr>
        <w:tblLayout w:type="fixed"/>
        <w:tblInd w:w="20" w:type="dxa"/>
        <w:tblCellMar>
          <w:top w:w="0" w:type="dxa"/>
          <w:left w:w="0" w:type="dxa"/>
          <w:bottom w:w="0" w:type="dxa"/>
          <w:right w:w="0" w:type="dxa"/>
        </w:tblCellMar>
      </w:tblPr>
      <w:tr>
        <w:trPr>
          <w:trHeight w:val="88"/>
        </w:trPr>
        <w:tc>
          <w:tcPr>
            <w:tcW w:w="6560" w:type="dxa"/>
            <w:vAlign w:val="bottom"/>
            <w:tcBorders>
              <w:bottom w:val="single" w:sz="8" w:color="CCEEFF"/>
            </w:tcBorders>
          </w:tcPr>
          <w:p>
            <w:pPr>
              <w:spacing w:after="0"/>
              <w:rPr>
                <w:sz w:val="7"/>
                <w:szCs w:val="7"/>
                <w:color w:val="auto"/>
              </w:rPr>
            </w:pPr>
          </w:p>
        </w:tc>
        <w:tc>
          <w:tcPr>
            <w:tcW w:w="660" w:type="dxa"/>
            <w:vAlign w:val="bottom"/>
            <w:tcBorders>
              <w:top w:val="single" w:sz="8" w:color="auto"/>
              <w:bottom w:val="single" w:sz="8" w:color="auto"/>
            </w:tcBorders>
          </w:tcPr>
          <w:p>
            <w:pPr>
              <w:jc w:val="right"/>
              <w:ind w:right="1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CCEEFF"/>
            </w:tcBorders>
          </w:tcPr>
          <w:p>
            <w:pPr>
              <w:spacing w:after="0"/>
              <w:rPr>
                <w:sz w:val="7"/>
                <w:szCs w:val="7"/>
                <w:color w:val="auto"/>
              </w:rPr>
            </w:pPr>
          </w:p>
        </w:tc>
        <w:tc>
          <w:tcPr>
            <w:tcW w:w="1020" w:type="dxa"/>
            <w:vAlign w:val="bottom"/>
            <w:tcBorders>
              <w:top w:val="single" w:sz="8" w:color="auto"/>
              <w:bottom w:val="single" w:sz="8" w:color="auto"/>
            </w:tcBorders>
          </w:tcPr>
          <w:p>
            <w:pPr>
              <w:jc w:val="right"/>
              <w:ind w:right="36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7"/>
                <w:szCs w:val="7"/>
                <w:color w:val="auto"/>
              </w:rPr>
            </w:pPr>
          </w:p>
        </w:tc>
      </w:tr>
      <w:tr>
        <w:trPr>
          <w:trHeight w:val="133"/>
        </w:trPr>
        <w:tc>
          <w:tcPr>
            <w:tcW w:w="6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Options to purchase common shares</w:t>
            </w: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4,835</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5,005</w:t>
            </w:r>
          </w:p>
        </w:tc>
        <w:tc>
          <w:tcPr>
            <w:tcW w:w="160" w:type="dxa"/>
            <w:vAlign w:val="bottom"/>
            <w:shd w:val="clear" w:color="auto" w:fill="CCEEFF"/>
          </w:tcPr>
          <w:p>
            <w:pPr>
              <w:spacing w:after="0"/>
              <w:rPr>
                <w:sz w:val="11"/>
                <w:szCs w:val="11"/>
                <w:color w:val="auto"/>
              </w:rPr>
            </w:pPr>
          </w:p>
        </w:tc>
      </w:tr>
      <w:tr>
        <w:trPr>
          <w:trHeight w:val="155"/>
        </w:trPr>
        <w:tc>
          <w:tcPr>
            <w:tcW w:w="7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common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60" w:type="dxa"/>
            <w:vAlign w:val="bottom"/>
          </w:tcPr>
          <w:p>
            <w:pPr>
              <w:spacing w:after="0"/>
              <w:rPr>
                <w:sz w:val="13"/>
                <w:szCs w:val="13"/>
                <w:color w:val="auto"/>
              </w:rPr>
            </w:pPr>
          </w:p>
        </w:tc>
      </w:tr>
    </w:tbl>
    <w:p>
      <w:pPr>
        <w:spacing w:after="0" w:line="136" w:lineRule="exact"/>
        <w:rPr>
          <w:sz w:val="20"/>
          <w:szCs w:val="20"/>
          <w:color w:val="auto"/>
        </w:rPr>
      </w:pPr>
    </w:p>
    <w:p>
      <w:pPr>
        <w:ind w:left="20" w:right="7699" w:firstLine="2"/>
        <w:spacing w:after="0" w:line="550" w:lineRule="auto"/>
        <w:tabs>
          <w:tab w:leader="none" w:pos="170" w:val="left"/>
        </w:tabs>
        <w:numPr>
          <w:ilvl w:val="0"/>
          <w:numId w:val="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Stockholders’ Equity Authorized Capital Stock</w:t>
      </w:r>
    </w:p>
    <w:p>
      <w:pPr>
        <w:ind w:left="20"/>
        <w:spacing w:after="0"/>
        <w:rPr>
          <w:sz w:val="20"/>
          <w:szCs w:val="20"/>
          <w:color w:val="auto"/>
        </w:rPr>
      </w:pPr>
      <w:r>
        <w:rPr>
          <w:rFonts w:ascii="Times New Roman" w:cs="Times New Roman" w:eastAsia="Times New Roman" w:hAnsi="Times New Roman"/>
          <w:sz w:val="12"/>
          <w:szCs w:val="12"/>
          <w:color w:val="auto"/>
        </w:rPr>
        <w:t>The Company’s authorized capital stock consists of an unlimited number of common shares, no par value per share.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Warrants to Purchase Common Stock</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During the three and nine months ended September 30, 2024 and 2023, there were no warrants issued or exercised. Outstanding warrants have a weighted average life of 3.30 years 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September 30, 2024. The following tables detail the Company’s warrant activity for the three and nine months ended September 30, 2024, and 2023, respectively: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5"/>
              </w:rPr>
              <w:t>Common Shares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jc w:val="center"/>
              <w:ind w:left="212"/>
              <w:spacing w:after="0" w:line="99" w:lineRule="exact"/>
              <w:rPr>
                <w:sz w:val="20"/>
                <w:szCs w:val="20"/>
                <w:color w:val="auto"/>
              </w:rPr>
            </w:pPr>
            <w:r>
              <w:rPr>
                <w:rFonts w:ascii="Times New Roman" w:cs="Times New Roman" w:eastAsia="Times New Roman" w:hAnsi="Times New Roman"/>
                <w:sz w:val="10"/>
                <w:szCs w:val="10"/>
                <w:b w:val="1"/>
                <w:bCs w:val="1"/>
                <w:color w:val="auto"/>
                <w:w w:val="96"/>
              </w:rPr>
              <w:t>Issuable Upon Exercise</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vMerge w:val="restart"/>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0" w:type="dxa"/>
            <w:vAlign w:val="bottom"/>
          </w:tcPr>
          <w:p>
            <w:pPr>
              <w:spacing w:after="0"/>
              <w:rPr>
                <w:sz w:val="1"/>
                <w:szCs w:val="1"/>
                <w:color w:val="auto"/>
              </w:rPr>
            </w:pPr>
          </w:p>
        </w:tc>
      </w:tr>
      <w:tr>
        <w:trPr>
          <w:trHeight w:val="99"/>
        </w:trPr>
        <w:tc>
          <w:tcPr>
            <w:tcW w:w="3760" w:type="dxa"/>
            <w:vAlign w:val="bottom"/>
            <w:vMerge w:val="restart"/>
          </w:tcPr>
          <w:p>
            <w:pPr>
              <w:ind w:left="2340"/>
              <w:spacing w:after="0"/>
              <w:rPr>
                <w:sz w:val="20"/>
                <w:szCs w:val="20"/>
                <w:color w:val="auto"/>
              </w:rPr>
            </w:pPr>
            <w:r>
              <w:rPr>
                <w:rFonts w:ascii="Times New Roman" w:cs="Times New Roman" w:eastAsia="Times New Roman" w:hAnsi="Times New Roman"/>
                <w:sz w:val="10"/>
                <w:szCs w:val="10"/>
                <w:b w:val="1"/>
                <w:bCs w:val="1"/>
                <w:color w:val="auto"/>
              </w:rPr>
              <w:t>Investor Warrants</w:t>
            </w: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jc w:val="center"/>
              <w:ind w:left="192"/>
              <w:spacing w:after="0" w:line="99" w:lineRule="exact"/>
              <w:rPr>
                <w:sz w:val="20"/>
                <w:szCs w:val="20"/>
                <w:color w:val="auto"/>
              </w:rPr>
            </w:pPr>
            <w:r>
              <w:rPr>
                <w:rFonts w:ascii="Times New Roman" w:cs="Times New Roman" w:eastAsia="Times New Roman" w:hAnsi="Times New Roman"/>
                <w:sz w:val="10"/>
                <w:szCs w:val="10"/>
                <w:b w:val="1"/>
                <w:bCs w:val="1"/>
                <w:color w:val="auto"/>
                <w:w w:val="96"/>
              </w:rPr>
              <w:t>of Outstanding</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auto"/>
            </w:tcBorders>
            <w:vMerge w:val="continue"/>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60" w:type="dxa"/>
            <w:vAlign w:val="bottom"/>
            <w:tcBorders>
              <w:bottom w:val="single" w:sz="8" w:color="auto"/>
            </w:tcBorders>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5"/>
              </w:rPr>
              <w:t>Warrants</w:t>
            </w: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Exercise Price $USD</w:t>
            </w:r>
          </w:p>
        </w:tc>
        <w:tc>
          <w:tcPr>
            <w:tcW w:w="0" w:type="dxa"/>
            <w:vAlign w:val="bottom"/>
          </w:tcPr>
          <w:p>
            <w:pPr>
              <w:spacing w:after="0"/>
              <w:rPr>
                <w:sz w:val="1"/>
                <w:szCs w:val="1"/>
                <w:color w:val="auto"/>
              </w:rPr>
            </w:pPr>
          </w:p>
        </w:tc>
      </w:tr>
      <w:tr>
        <w:trPr>
          <w:trHeight w:val="133"/>
        </w:trPr>
        <w:tc>
          <w:tcPr>
            <w:tcW w:w="3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December 31, 2023</w:t>
            </w:r>
          </w:p>
        </w:tc>
        <w:tc>
          <w:tcPr>
            <w:tcW w:w="1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7.71</w:t>
            </w:r>
          </w:p>
        </w:tc>
        <w:tc>
          <w:tcPr>
            <w:tcW w:w="0" w:type="dxa"/>
            <w:vAlign w:val="bottom"/>
          </w:tcPr>
          <w:p>
            <w:pPr>
              <w:spacing w:after="0"/>
              <w:rPr>
                <w:sz w:val="1"/>
                <w:szCs w:val="1"/>
                <w:color w:val="auto"/>
              </w:rPr>
            </w:pPr>
          </w:p>
        </w:tc>
      </w:tr>
      <w:tr>
        <w:trPr>
          <w:trHeight w:val="144"/>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Issued</w:t>
            </w:r>
          </w:p>
        </w:tc>
        <w:tc>
          <w:tcPr>
            <w:tcW w:w="1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March 31, 2024</w:t>
            </w:r>
          </w:p>
        </w:tc>
        <w:tc>
          <w:tcPr>
            <w:tcW w:w="1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7.71</w:t>
            </w:r>
          </w:p>
        </w:tc>
        <w:tc>
          <w:tcPr>
            <w:tcW w:w="0" w:type="dxa"/>
            <w:vAlign w:val="bottom"/>
          </w:tcPr>
          <w:p>
            <w:pPr>
              <w:spacing w:after="0"/>
              <w:rPr>
                <w:sz w:val="1"/>
                <w:szCs w:val="1"/>
                <w:color w:val="auto"/>
              </w:rPr>
            </w:pPr>
          </w:p>
        </w:tc>
      </w:tr>
      <w:tr>
        <w:trPr>
          <w:trHeight w:val="144"/>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Issued</w:t>
            </w:r>
          </w:p>
        </w:tc>
        <w:tc>
          <w:tcPr>
            <w:tcW w:w="1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June 30, 2024</w:t>
            </w:r>
          </w:p>
        </w:tc>
        <w:tc>
          <w:tcPr>
            <w:tcW w:w="1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7.71</w:t>
            </w:r>
          </w:p>
        </w:tc>
        <w:tc>
          <w:tcPr>
            <w:tcW w:w="0" w:type="dxa"/>
            <w:vAlign w:val="bottom"/>
          </w:tcPr>
          <w:p>
            <w:pPr>
              <w:spacing w:after="0"/>
              <w:rPr>
                <w:sz w:val="1"/>
                <w:szCs w:val="1"/>
                <w:color w:val="auto"/>
              </w:rPr>
            </w:pPr>
          </w:p>
        </w:tc>
      </w:tr>
      <w:tr>
        <w:trPr>
          <w:trHeight w:val="144"/>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Issued</w:t>
            </w:r>
          </w:p>
        </w:tc>
        <w:tc>
          <w:tcPr>
            <w:tcW w:w="1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7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September 30, 2024</w:t>
            </w:r>
          </w:p>
        </w:tc>
        <w:tc>
          <w:tcPr>
            <w:tcW w:w="1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150</w:t>
            </w:r>
          </w:p>
        </w:tc>
        <w:tc>
          <w:tcPr>
            <w:tcW w:w="2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7.71</w:t>
            </w:r>
          </w:p>
        </w:tc>
        <w:tc>
          <w:tcPr>
            <w:tcW w:w="0" w:type="dxa"/>
            <w:vAlign w:val="bottom"/>
          </w:tcPr>
          <w:p>
            <w:pPr>
              <w:spacing w:after="0"/>
              <w:rPr>
                <w:sz w:val="1"/>
                <w:szCs w:val="1"/>
                <w:color w:val="auto"/>
              </w:rPr>
            </w:pPr>
          </w:p>
        </w:tc>
      </w:tr>
      <w:tr>
        <w:trPr>
          <w:trHeight w:val="419"/>
        </w:trPr>
        <w:tc>
          <w:tcPr>
            <w:tcW w:w="3760" w:type="dxa"/>
            <w:vAlign w:val="bottom"/>
          </w:tcPr>
          <w:p>
            <w:pPr>
              <w:spacing w:after="0"/>
              <w:rPr>
                <w:sz w:val="24"/>
                <w:szCs w:val="24"/>
                <w:color w:val="auto"/>
              </w:rPr>
            </w:pPr>
          </w:p>
        </w:tc>
        <w:tc>
          <w:tcPr>
            <w:tcW w:w="16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rPr>
              <w:t>17</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5"/>
              </w:rPr>
              <w:t>Common Shares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jc w:val="center"/>
              <w:ind w:left="212"/>
              <w:spacing w:after="0" w:line="99" w:lineRule="exact"/>
              <w:rPr>
                <w:sz w:val="20"/>
                <w:szCs w:val="20"/>
                <w:color w:val="auto"/>
              </w:rPr>
            </w:pPr>
            <w:r>
              <w:rPr>
                <w:rFonts w:ascii="Times New Roman" w:cs="Times New Roman" w:eastAsia="Times New Roman" w:hAnsi="Times New Roman"/>
                <w:sz w:val="10"/>
                <w:szCs w:val="10"/>
                <w:b w:val="1"/>
                <w:bCs w:val="1"/>
                <w:color w:val="auto"/>
                <w:w w:val="96"/>
              </w:rPr>
              <w:t>Issuable Upon Exercise</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vMerge w:val="restart"/>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0" w:type="dxa"/>
            <w:vAlign w:val="bottom"/>
          </w:tcPr>
          <w:p>
            <w:pPr>
              <w:spacing w:after="0"/>
              <w:rPr>
                <w:sz w:val="1"/>
                <w:szCs w:val="1"/>
                <w:color w:val="auto"/>
              </w:rPr>
            </w:pPr>
          </w:p>
        </w:tc>
      </w:tr>
      <w:tr>
        <w:trPr>
          <w:trHeight w:val="99"/>
        </w:trPr>
        <w:tc>
          <w:tcPr>
            <w:tcW w:w="5660" w:type="dxa"/>
            <w:vAlign w:val="bottom"/>
            <w:gridSpan w:val="2"/>
            <w:vMerge w:val="restart"/>
          </w:tcPr>
          <w:p>
            <w:pPr>
              <w:ind w:left="2340"/>
              <w:spacing w:after="0"/>
              <w:rPr>
                <w:sz w:val="20"/>
                <w:szCs w:val="20"/>
                <w:color w:val="auto"/>
              </w:rPr>
            </w:pPr>
            <w:r>
              <w:rPr>
                <w:rFonts w:ascii="Times New Roman" w:cs="Times New Roman" w:eastAsia="Times New Roman" w:hAnsi="Times New Roman"/>
                <w:sz w:val="10"/>
                <w:szCs w:val="10"/>
                <w:b w:val="1"/>
                <w:bCs w:val="1"/>
                <w:color w:val="auto"/>
              </w:rPr>
              <w:t>Investor Warrants</w:t>
            </w:r>
          </w:p>
        </w:tc>
        <w:tc>
          <w:tcPr>
            <w:tcW w:w="1260" w:type="dxa"/>
            <w:vAlign w:val="bottom"/>
          </w:tcPr>
          <w:p>
            <w:pPr>
              <w:jc w:val="center"/>
              <w:ind w:left="192"/>
              <w:spacing w:after="0" w:line="99" w:lineRule="exact"/>
              <w:rPr>
                <w:sz w:val="20"/>
                <w:szCs w:val="20"/>
                <w:color w:val="auto"/>
              </w:rPr>
            </w:pPr>
            <w:r>
              <w:rPr>
                <w:rFonts w:ascii="Times New Roman" w:cs="Times New Roman" w:eastAsia="Times New Roman" w:hAnsi="Times New Roman"/>
                <w:sz w:val="10"/>
                <w:szCs w:val="10"/>
                <w:b w:val="1"/>
                <w:bCs w:val="1"/>
                <w:color w:val="auto"/>
                <w:w w:val="96"/>
              </w:rPr>
              <w:t>of Outstanding</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660" w:type="dxa"/>
            <w:vAlign w:val="bottom"/>
            <w:gridSpan w:val="2"/>
            <w:vMerge w:val="continue"/>
          </w:tcPr>
          <w:p>
            <w:pPr>
              <w:spacing w:after="0"/>
              <w:rPr>
                <w:sz w:val="10"/>
                <w:szCs w:val="10"/>
                <w:color w:val="auto"/>
              </w:rPr>
            </w:pPr>
          </w:p>
        </w:tc>
        <w:tc>
          <w:tcPr>
            <w:tcW w:w="126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5"/>
              </w:rPr>
              <w:t>Warrants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0" w:type="dxa"/>
            <w:vAlign w:val="bottom"/>
          </w:tcPr>
          <w:p>
            <w:pPr>
              <w:spacing w:after="0"/>
              <w:rPr>
                <w:sz w:val="1"/>
                <w:szCs w:val="1"/>
                <w:color w:val="auto"/>
              </w:rPr>
            </w:pPr>
          </w:p>
        </w:tc>
      </w:tr>
      <w:tr>
        <w:trPr>
          <w:trHeight w:val="133"/>
        </w:trPr>
        <w:tc>
          <w:tcPr>
            <w:tcW w:w="54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December 31, 2022</w:t>
            </w:r>
          </w:p>
        </w:tc>
        <w:tc>
          <w:tcPr>
            <w:tcW w:w="2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7.71</w:t>
            </w:r>
          </w:p>
        </w:tc>
        <w:tc>
          <w:tcPr>
            <w:tcW w:w="0" w:type="dxa"/>
            <w:vAlign w:val="bottom"/>
          </w:tcPr>
          <w:p>
            <w:pPr>
              <w:spacing w:after="0"/>
              <w:rPr>
                <w:sz w:val="1"/>
                <w:szCs w:val="1"/>
                <w:color w:val="auto"/>
              </w:rPr>
            </w:pPr>
          </w:p>
        </w:tc>
      </w:tr>
      <w:tr>
        <w:trPr>
          <w:trHeight w:val="144"/>
        </w:trPr>
        <w:tc>
          <w:tcPr>
            <w:tcW w:w="5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Issued</w:t>
            </w: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56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March 31, 2023</w:t>
            </w: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7.71</w:t>
            </w:r>
          </w:p>
        </w:tc>
        <w:tc>
          <w:tcPr>
            <w:tcW w:w="0" w:type="dxa"/>
            <w:vAlign w:val="bottom"/>
          </w:tcPr>
          <w:p>
            <w:pPr>
              <w:spacing w:after="0"/>
              <w:rPr>
                <w:sz w:val="1"/>
                <w:szCs w:val="1"/>
                <w:color w:val="auto"/>
              </w:rPr>
            </w:pPr>
          </w:p>
        </w:tc>
      </w:tr>
      <w:tr>
        <w:trPr>
          <w:trHeight w:val="144"/>
        </w:trPr>
        <w:tc>
          <w:tcPr>
            <w:tcW w:w="5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Issued</w:t>
            </w: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56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June 30, 2023</w:t>
            </w: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7.71</w:t>
            </w:r>
          </w:p>
        </w:tc>
        <w:tc>
          <w:tcPr>
            <w:tcW w:w="0" w:type="dxa"/>
            <w:vAlign w:val="bottom"/>
          </w:tcPr>
          <w:p>
            <w:pPr>
              <w:spacing w:after="0"/>
              <w:rPr>
                <w:sz w:val="1"/>
                <w:szCs w:val="1"/>
                <w:color w:val="auto"/>
              </w:rPr>
            </w:pPr>
          </w:p>
        </w:tc>
      </w:tr>
      <w:tr>
        <w:trPr>
          <w:trHeight w:val="153"/>
        </w:trPr>
        <w:tc>
          <w:tcPr>
            <w:tcW w:w="5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Issued</w:t>
            </w:r>
          </w:p>
        </w:tc>
        <w:tc>
          <w:tcPr>
            <w:tcW w:w="1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66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September 30, 2023</w:t>
            </w:r>
          </w:p>
        </w:tc>
        <w:tc>
          <w:tcPr>
            <w:tcW w:w="12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150</w:t>
            </w: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7.71</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Equity Incentive Plan</w:t>
      </w:r>
    </w:p>
    <w:p>
      <w:pPr>
        <w:spacing w:after="0" w:line="154"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The Compensation Committee of the Board of Directors administers the Company’s equity incentive plan (the “Plan”). The Compensation Committee designates eligible participants to be included under the Plan and approves the number of equity instruments to be granted from time to time under the Plan. Currently, the maximum number of equity instruments issuable under the Plan, together with the Company’s prior stock option plan, is twenty-five percent (25%) of the total number of issued and outstanding common shares. Based upon the current shares outstanding, a maximum of 6,825 shares of common stock are authorized for issuance pursuant to stock options or other equity awards granted under the Plan. For all options issued under the Plan, the exercise price is the fair value of the underlying shares on the date of grant. All options vest within three years or less and are exercisable for a period of ten years from the date of grant. The Plan allows the issuance of Canadian and U.S. dollar grants. The table below outlines recognized contractor and employee expense from equity awards for the three- and nine-month periods ended September 30, 2024, and 2023. For all periods presented, there were no contractor option expense to recognize.</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5"/>
          </w:tcPr>
          <w:p>
            <w:pPr>
              <w:ind w:left="4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1880" w:type="dxa"/>
            <w:vAlign w:val="bottom"/>
            <w:gridSpan w:val="4"/>
          </w:tcPr>
          <w:p>
            <w:pPr>
              <w:jc w:val="right"/>
              <w:ind w:right="528"/>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72"/>
        </w:trPr>
        <w:tc>
          <w:tcPr>
            <w:tcW w:w="31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2"/>
          </w:tcPr>
          <w:p>
            <w:pPr>
              <w:ind w:left="40"/>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jc w:val="right"/>
              <w:ind w:right="148"/>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2"/>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jc w:val="right"/>
              <w:ind w:right="128"/>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r>
      <w:tr>
        <w:trPr>
          <w:trHeight w:val="115"/>
        </w:trPr>
        <w:tc>
          <w:tcPr>
            <w:tcW w:w="314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3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Employee options expense recognized</w:t>
            </w:r>
          </w:p>
        </w:tc>
        <w:tc>
          <w:tcPr>
            <w:tcW w:w="17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1,821</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865</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3,937</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4,497</w:t>
            </w:r>
          </w:p>
        </w:tc>
      </w:tr>
      <w:tr>
        <w:trPr>
          <w:trHeight w:val="140"/>
        </w:trPr>
        <w:tc>
          <w:tcPr>
            <w:tcW w:w="31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option expense recognized</w:t>
            </w:r>
          </w:p>
        </w:tc>
        <w:tc>
          <w:tcPr>
            <w:tcW w:w="170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1,821</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865</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3,937</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4,497</w:t>
            </w:r>
          </w:p>
        </w:tc>
      </w:tr>
      <w:tr>
        <w:trPr>
          <w:trHeight w:val="576"/>
        </w:trPr>
        <w:tc>
          <w:tcPr>
            <w:tcW w:w="3140" w:type="dxa"/>
            <w:vAlign w:val="bottom"/>
          </w:tcPr>
          <w:p>
            <w:pPr>
              <w:spacing w:after="0"/>
              <w:rPr>
                <w:sz w:val="24"/>
                <w:szCs w:val="24"/>
                <w:color w:val="auto"/>
              </w:rPr>
            </w:pPr>
          </w:p>
        </w:tc>
        <w:tc>
          <w:tcPr>
            <w:tcW w:w="17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7"/>
        </w:trPr>
        <w:tc>
          <w:tcPr>
            <w:tcW w:w="3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Notes to the Unaudited Interim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 Option Activity</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is a summary of option activity for the three and nine months ended September 30, 2024 and 2023.</w:t>
      </w:r>
    </w:p>
    <w:p>
      <w:pPr>
        <w:sectPr>
          <w:pgSz w:w="11900" w:h="16838" w:orient="portrait"/>
          <w:cols w:equalWidth="0" w:num="1">
            <w:col w:w="9019"/>
          </w:cols>
          <w:pgMar w:left="1440" w:top="390" w:right="1440" w:bottom="1440" w:gutter="0" w:footer="0" w:header="0"/>
        </w:sect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0287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Outstanding at December 31, 2023</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Granted</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-80010</wp:posOffset>
            </wp:positionV>
            <wp:extent cx="569214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0287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22225</wp:posOffset>
            </wp:positionV>
            <wp:extent cx="569214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0287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Outstanding at March 31, 2024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Granted</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-80010</wp:posOffset>
            </wp:positionV>
            <wp:extent cx="569214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0287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22225</wp:posOffset>
            </wp:positionV>
            <wp:extent cx="569214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0287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Outstanding at June 30, 2024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Granted</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-80010</wp:posOffset>
            </wp:positionV>
            <wp:extent cx="569214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0287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22225</wp:posOffset>
            </wp:positionV>
            <wp:extent cx="569214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0287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Outstanding at September 30, 2024</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Of the 5,455 options granted and outstanding at September 30, 2024, 4,278 are fully vested and exercisable.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260" w:type="dxa"/>
            <w:vAlign w:val="bottom"/>
          </w:tcPr>
          <w:p>
            <w:pPr>
              <w:spacing w:after="0"/>
              <w:rPr>
                <w:sz w:val="10"/>
                <w:szCs w:val="10"/>
                <w:color w:val="auto"/>
              </w:rPr>
            </w:pPr>
          </w:p>
        </w:tc>
        <w:tc>
          <w:tcPr>
            <w:tcW w:w="1220" w:type="dxa"/>
            <w:vAlign w:val="bottom"/>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Weighted-Average</w:t>
            </w:r>
          </w:p>
        </w:tc>
      </w:tr>
      <w:tr>
        <w:trPr>
          <w:trHeight w:val="152"/>
        </w:trPr>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Options (thousands)</w:t>
            </w:r>
          </w:p>
        </w:tc>
        <w:tc>
          <w:tcPr>
            <w:tcW w:w="260" w:type="dxa"/>
            <w:vAlign w:val="bottom"/>
          </w:tcPr>
          <w:p>
            <w:pPr>
              <w:spacing w:after="0"/>
              <w:rPr>
                <w:sz w:val="13"/>
                <w:szCs w:val="13"/>
                <w:color w:val="auto"/>
              </w:rPr>
            </w:pPr>
          </w:p>
        </w:tc>
        <w:tc>
          <w:tcPr>
            <w:tcW w:w="1220" w:type="dxa"/>
            <w:vAlign w:val="bottom"/>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w w:val="99"/>
              </w:rPr>
              <w:t>Exercise Price $USD</w:t>
            </w:r>
          </w:p>
        </w:tc>
      </w:tr>
      <w:tr>
        <w:trPr>
          <w:trHeight w:val="144"/>
        </w:trPr>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4,798</w:t>
            </w:r>
          </w:p>
        </w:tc>
        <w:tc>
          <w:tcPr>
            <w:tcW w:w="200" w:type="dxa"/>
            <w:vAlign w:val="bottom"/>
          </w:tcPr>
          <w:p>
            <w:pPr>
              <w:spacing w:after="0"/>
              <w:rPr>
                <w:sz w:val="12"/>
                <w:szCs w:val="12"/>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w:t>
            </w:r>
          </w:p>
        </w:tc>
      </w:tr>
      <w:tr>
        <w:trPr>
          <w:trHeight w:val="160"/>
        </w:trPr>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w:t>
            </w:r>
          </w:p>
        </w:tc>
      </w:tr>
      <w:tr>
        <w:trPr>
          <w:trHeight w:val="162"/>
        </w:trPr>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r>
      <w:tr>
        <w:trPr>
          <w:trHeight w:val="162"/>
        </w:trPr>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4,768</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5.43</w:t>
            </w:r>
          </w:p>
        </w:tc>
      </w:tr>
      <w:tr>
        <w:trPr>
          <w:trHeight w:val="144"/>
        </w:trPr>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w:t>
            </w:r>
          </w:p>
        </w:tc>
      </w:tr>
      <w:tr>
        <w:trPr>
          <w:trHeight w:val="160"/>
        </w:trPr>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(147)</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r>
      <w:tr>
        <w:trPr>
          <w:trHeight w:val="162"/>
        </w:trPr>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(100)</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w:t>
            </w:r>
          </w:p>
        </w:tc>
      </w:tr>
      <w:tr>
        <w:trPr>
          <w:trHeight w:val="142"/>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5,228</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6.48</w:t>
            </w:r>
          </w:p>
        </w:tc>
      </w:tr>
      <w:tr>
        <w:trPr>
          <w:trHeight w:val="144"/>
        </w:trPr>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w:t>
            </w:r>
          </w:p>
        </w:tc>
      </w:tr>
      <w:tr>
        <w:trPr>
          <w:trHeight w:val="160"/>
        </w:trPr>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w:t>
            </w:r>
          </w:p>
        </w:tc>
      </w:tr>
      <w:tr>
        <w:trPr>
          <w:trHeight w:val="162"/>
        </w:trPr>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(276)</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w:t>
            </w:r>
          </w:p>
        </w:tc>
      </w:tr>
      <w:tr>
        <w:trPr>
          <w:trHeight w:val="140"/>
        </w:trPr>
        <w:tc>
          <w:tcPr>
            <w:tcW w:w="1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5,455</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6.37</w:t>
            </w:r>
          </w:p>
        </w:tc>
      </w:tr>
    </w:tbl>
    <w:p>
      <w:pPr>
        <w:spacing w:after="0" w:line="493" w:lineRule="exact"/>
        <w:rPr>
          <w:sz w:val="20"/>
          <w:szCs w:val="20"/>
          <w:color w:val="auto"/>
        </w:rPr>
      </w:pPr>
    </w:p>
    <w:p>
      <w:pPr>
        <w:sectPr>
          <w:pgSz w:w="11900" w:h="16838" w:orient="portrait"/>
          <w:cols w:equalWidth="0" w:num="2">
            <w:col w:w="5200" w:space="660"/>
            <w:col w:w="3159"/>
          </w:cols>
          <w:pgMar w:left="1440" w:top="390" w:right="1440" w:bottom="1440" w:gutter="0" w:footer="0" w:header="0"/>
          <w:type w:val="continuous"/>
        </w:sect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The value of options issued was estimated using the Black-Scholes option pricing model using the assumptions in the table below. The expected volatility was determined using historical volatility of our stock based on the expected term of the award.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Valuation</w:t>
            </w:r>
          </w:p>
        </w:tc>
        <w:tc>
          <w:tcPr>
            <w:tcW w:w="0" w:type="dxa"/>
            <w:vAlign w:val="bottom"/>
          </w:tcPr>
          <w:p>
            <w:pPr>
              <w:spacing w:after="0"/>
              <w:rPr>
                <w:sz w:val="1"/>
                <w:szCs w:val="1"/>
                <w:color w:val="auto"/>
              </w:rPr>
            </w:pPr>
          </w:p>
        </w:tc>
      </w:tr>
      <w:tr>
        <w:trPr>
          <w:trHeight w:val="99"/>
        </w:trPr>
        <w:tc>
          <w:tcPr>
            <w:tcW w:w="29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Black-Scholes Model Assumptions</w:t>
            </w:r>
          </w:p>
        </w:tc>
        <w:tc>
          <w:tcPr>
            <w:tcW w:w="4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Assumptions</w:t>
            </w:r>
          </w:p>
        </w:tc>
        <w:tc>
          <w:tcPr>
            <w:tcW w:w="0" w:type="dxa"/>
            <w:vAlign w:val="bottom"/>
          </w:tcPr>
          <w:p>
            <w:pPr>
              <w:spacing w:after="0"/>
              <w:rPr>
                <w:sz w:val="1"/>
                <w:szCs w:val="1"/>
                <w:color w:val="auto"/>
              </w:rPr>
            </w:pPr>
          </w:p>
        </w:tc>
      </w:tr>
      <w:tr>
        <w:trPr>
          <w:trHeight w:val="115"/>
        </w:trPr>
        <w:tc>
          <w:tcPr>
            <w:tcW w:w="2920" w:type="dxa"/>
            <w:vAlign w:val="bottom"/>
            <w:tcBorders>
              <w:bottom w:val="single" w:sz="8" w:color="auto"/>
            </w:tcBorders>
            <w:vMerge w:val="continue"/>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September 30, 2024</w:t>
            </w:r>
          </w:p>
        </w:tc>
        <w:tc>
          <w:tcPr>
            <w:tcW w:w="0" w:type="dxa"/>
            <w:vAlign w:val="bottom"/>
          </w:tcPr>
          <w:p>
            <w:pPr>
              <w:spacing w:after="0"/>
              <w:rPr>
                <w:sz w:val="1"/>
                <w:szCs w:val="1"/>
                <w:color w:val="auto"/>
              </w:rPr>
            </w:pPr>
          </w:p>
        </w:tc>
      </w:tr>
      <w:tr>
        <w:trPr>
          <w:trHeight w:val="133"/>
        </w:trPr>
        <w:tc>
          <w:tcPr>
            <w:tcW w:w="2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Expected dividend</w:t>
            </w:r>
          </w:p>
        </w:tc>
        <w:tc>
          <w:tcPr>
            <w:tcW w:w="4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0.00%</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Risk free rate</w:t>
            </w:r>
          </w:p>
        </w:tc>
        <w:tc>
          <w:tcPr>
            <w:tcW w:w="5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- 5.15%</w:t>
            </w: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5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- 67%</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w:t>
            </w:r>
          </w:p>
        </w:tc>
        <w:tc>
          <w:tcPr>
            <w:tcW w:w="5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- 6.0 years</w:t>
            </w:r>
          </w:p>
        </w:tc>
        <w:tc>
          <w:tcPr>
            <w:tcW w:w="0" w:type="dxa"/>
            <w:vAlign w:val="bottom"/>
          </w:tcPr>
          <w:p>
            <w:pPr>
              <w:spacing w:after="0"/>
              <w:rPr>
                <w:sz w:val="1"/>
                <w:szCs w:val="1"/>
                <w:color w:val="auto"/>
              </w:rPr>
            </w:pPr>
          </w:p>
        </w:tc>
      </w:tr>
      <w:tr>
        <w:trPr>
          <w:trHeight w:val="565"/>
        </w:trPr>
        <w:tc>
          <w:tcPr>
            <w:tcW w:w="2920" w:type="dxa"/>
            <w:vAlign w:val="bottom"/>
          </w:tcPr>
          <w:p>
            <w:pPr>
              <w:spacing w:after="0"/>
              <w:rPr>
                <w:sz w:val="24"/>
                <w:szCs w:val="24"/>
                <w:color w:val="auto"/>
              </w:rPr>
            </w:pPr>
          </w:p>
        </w:tc>
        <w:tc>
          <w:tcPr>
            <w:tcW w:w="4300" w:type="dxa"/>
            <w:vAlign w:val="bottom"/>
          </w:tcPr>
          <w:p>
            <w:pPr>
              <w:jc w:val="right"/>
              <w:ind w:right="2620"/>
              <w:spacing w:after="0"/>
              <w:rPr>
                <w:sz w:val="20"/>
                <w:szCs w:val="20"/>
                <w:color w:val="auto"/>
              </w:rPr>
            </w:pPr>
            <w:r>
              <w:rPr>
                <w:rFonts w:ascii="Times New Roman" w:cs="Times New Roman" w:eastAsia="Times New Roman" w:hAnsi="Times New Roman"/>
                <w:sz w:val="12"/>
                <w:szCs w:val="12"/>
                <w:color w:val="auto"/>
              </w:rPr>
              <w:t>19</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9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type w:val="continuous"/>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Restricted Share Units Activity</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Plan allows for the issuance of restricted share units (“RSUs”). The following is a summary of RSU activity for the three and nine months ended September 30, 2024 and 2023.</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During the three and nine months ended September 30, 2024, there were 48 and 137 RSUs released from restriction, respectively. Vesting of RSUs vary from one to three years.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0" w:type="dxa"/>
            <w:vAlign w:val="bottom"/>
          </w:tcPr>
          <w:p>
            <w:pPr>
              <w:spacing w:after="0"/>
              <w:rPr>
                <w:sz w:val="1"/>
                <w:szCs w:val="1"/>
                <w:color w:val="auto"/>
              </w:rPr>
            </w:pPr>
          </w:p>
        </w:tc>
      </w:tr>
      <w:tr>
        <w:trPr>
          <w:trHeight w:val="99"/>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RSUs Current Year</w:t>
            </w:r>
          </w:p>
        </w:tc>
        <w:tc>
          <w:tcPr>
            <w:tcW w:w="14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Restricted Share</w:t>
            </w:r>
          </w:p>
        </w:tc>
        <w:tc>
          <w:tcPr>
            <w:tcW w:w="0" w:type="dxa"/>
            <w:vAlign w:val="bottom"/>
          </w:tcPr>
          <w:p>
            <w:pPr>
              <w:spacing w:after="0"/>
              <w:rPr>
                <w:sz w:val="1"/>
                <w:szCs w:val="1"/>
                <w:color w:val="auto"/>
              </w:rPr>
            </w:pPr>
          </w:p>
        </w:tc>
      </w:tr>
      <w:tr>
        <w:trPr>
          <w:trHeight w:val="115"/>
        </w:trPr>
        <w:tc>
          <w:tcPr>
            <w:tcW w:w="7480" w:type="dxa"/>
            <w:vAlign w:val="bottom"/>
            <w:gridSpan w:val="2"/>
            <w:vMerge w:val="continue"/>
          </w:tcPr>
          <w:p>
            <w:pPr>
              <w:spacing w:after="0"/>
              <w:rPr>
                <w:sz w:val="10"/>
                <w:szCs w:val="1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Units (thousands)</w:t>
            </w:r>
          </w:p>
        </w:tc>
        <w:tc>
          <w:tcPr>
            <w:tcW w:w="0" w:type="dxa"/>
            <w:vAlign w:val="bottom"/>
          </w:tcPr>
          <w:p>
            <w:pPr>
              <w:spacing w:after="0"/>
              <w:rPr>
                <w:sz w:val="1"/>
                <w:szCs w:val="1"/>
                <w:color w:val="auto"/>
              </w:rPr>
            </w:pPr>
          </w:p>
        </w:tc>
      </w:tr>
      <w:tr>
        <w:trPr>
          <w:trHeight w:val="133"/>
        </w:trPr>
        <w:tc>
          <w:tcPr>
            <w:tcW w:w="7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at December 31, 2023</w:t>
            </w:r>
          </w:p>
        </w:tc>
        <w:tc>
          <w:tcPr>
            <w:tcW w:w="26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w:t>
            </w:r>
          </w:p>
        </w:tc>
        <w:tc>
          <w:tcPr>
            <w:tcW w:w="0" w:type="dxa"/>
            <w:vAlign w:val="bottom"/>
          </w:tcPr>
          <w:p>
            <w:pPr>
              <w:spacing w:after="0"/>
              <w:rPr>
                <w:sz w:val="1"/>
                <w:szCs w:val="1"/>
                <w:color w:val="auto"/>
              </w:rPr>
            </w:pPr>
          </w:p>
        </w:tc>
      </w:tr>
      <w:tr>
        <w:trPr>
          <w:trHeight w:val="144"/>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Awarded</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Released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33"/>
        </w:trPr>
        <w:tc>
          <w:tcPr>
            <w:tcW w:w="7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at March 31, 2024</w:t>
            </w:r>
          </w:p>
        </w:tc>
        <w:tc>
          <w:tcPr>
            <w:tcW w:w="1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214</w:t>
            </w:r>
          </w:p>
        </w:tc>
        <w:tc>
          <w:tcPr>
            <w:tcW w:w="0" w:type="dxa"/>
            <w:vAlign w:val="bottom"/>
          </w:tcPr>
          <w:p>
            <w:pPr>
              <w:spacing w:after="0"/>
              <w:rPr>
                <w:sz w:val="1"/>
                <w:szCs w:val="1"/>
                <w:color w:val="auto"/>
              </w:rPr>
            </w:pPr>
          </w:p>
        </w:tc>
      </w:tr>
      <w:tr>
        <w:trPr>
          <w:trHeight w:val="144"/>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Awarded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0" w:type="dxa"/>
            <w:vAlign w:val="bottom"/>
          </w:tcPr>
          <w:p>
            <w:pPr>
              <w:spacing w:after="0"/>
              <w:rPr>
                <w:sz w:val="1"/>
                <w:szCs w:val="1"/>
                <w:color w:val="auto"/>
              </w:rPr>
            </w:pPr>
          </w:p>
        </w:tc>
      </w:tr>
      <w:tr>
        <w:trPr>
          <w:trHeight w:val="144"/>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44"/>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7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at June 30, 2024</w:t>
            </w:r>
          </w:p>
        </w:tc>
        <w:tc>
          <w:tcPr>
            <w:tcW w:w="1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445</w:t>
            </w:r>
          </w:p>
        </w:tc>
        <w:tc>
          <w:tcPr>
            <w:tcW w:w="0" w:type="dxa"/>
            <w:vAlign w:val="bottom"/>
          </w:tcPr>
          <w:p>
            <w:pPr>
              <w:spacing w:after="0"/>
              <w:rPr>
                <w:sz w:val="1"/>
                <w:szCs w:val="1"/>
                <w:color w:val="auto"/>
              </w:rPr>
            </w:pPr>
          </w:p>
        </w:tc>
      </w:tr>
      <w:tr>
        <w:trPr>
          <w:trHeight w:val="144"/>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Awarded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44"/>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40"/>
        </w:trPr>
        <w:tc>
          <w:tcPr>
            <w:tcW w:w="7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Outstanding at September 30, 2024</w:t>
            </w:r>
          </w:p>
        </w:tc>
        <w:tc>
          <w:tcPr>
            <w:tcW w:w="14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367</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value of RSUs issued was estimated using the share price on the date of the award multiplied by the number of common shares granted.</w:t>
      </w:r>
    </w:p>
    <w:p>
      <w:pPr>
        <w:spacing w:after="0" w:line="164" w:lineRule="exact"/>
        <w:rPr>
          <w:sz w:val="20"/>
          <w:szCs w:val="20"/>
          <w:color w:val="auto"/>
        </w:rPr>
      </w:pPr>
    </w:p>
    <w:p>
      <w:pPr>
        <w:ind w:left="20"/>
        <w:spacing w:after="0"/>
        <w:tabs>
          <w:tab w:leader="none" w:pos="220" w:val="left"/>
        </w:tabs>
        <w:rPr>
          <w:sz w:val="20"/>
          <w:szCs w:val="20"/>
          <w:color w:val="auto"/>
        </w:rPr>
      </w:pPr>
      <w:r>
        <w:rPr>
          <w:rFonts w:ascii="Times New Roman" w:cs="Times New Roman" w:eastAsia="Times New Roman" w:hAnsi="Times New Roman"/>
          <w:sz w:val="12"/>
          <w:szCs w:val="12"/>
          <w:b w:val="1"/>
          <w:bCs w:val="1"/>
          <w:color w:val="auto"/>
        </w:rPr>
        <w:t>5.</w:t>
      </w:r>
      <w:r>
        <w:rPr>
          <w:sz w:val="20"/>
          <w:szCs w:val="20"/>
          <w:color w:val="auto"/>
        </w:rPr>
        <w:tab/>
      </w:r>
      <w:r>
        <w:rPr>
          <w:rFonts w:ascii="Times New Roman" w:cs="Times New Roman" w:eastAsia="Times New Roman" w:hAnsi="Times New Roman"/>
          <w:sz w:val="11"/>
          <w:szCs w:val="11"/>
          <w:b w:val="1"/>
          <w:bCs w:val="1"/>
          <w:color w:val="auto"/>
        </w:rPr>
        <w:t>Fair Value Measurements</w:t>
      </w:r>
    </w:p>
    <w:p>
      <w:pPr>
        <w:spacing w:after="0" w:line="154"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The Company has adopted ASC 820, the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Level 1: Quoted market prices in active markets for identical assets or liabilities.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Level 2: Observable market-based inputs or unobservable inputs that are corroborated by market data.</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Level 3: Unobservable inputs that are not corroborated by market data.</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Fair Value Measurement at September 30, 2024 and December 31, 2023</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9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3"/>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gridSpan w:val="6"/>
          </w:tcPr>
          <w:p>
            <w:pPr>
              <w:jc w:val="center"/>
              <w:ind w:right="312"/>
              <w:spacing w:after="0" w:line="72" w:lineRule="exact"/>
              <w:rPr>
                <w:sz w:val="20"/>
                <w:szCs w:val="20"/>
                <w:color w:val="auto"/>
              </w:rPr>
            </w:pPr>
            <w:r>
              <w:rPr>
                <w:rFonts w:ascii="Times New Roman" w:cs="Times New Roman" w:eastAsia="Times New Roman" w:hAnsi="Times New Roman"/>
                <w:sz w:val="8"/>
                <w:szCs w:val="8"/>
                <w:b w:val="1"/>
                <w:bCs w:val="1"/>
                <w:color w:val="auto"/>
              </w:rPr>
              <w:t>Quoted Price in Active</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4"/>
            <w:vMerge w:val="restart"/>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Significant Other</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Significant</w:t>
            </w: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gridSpan w:val="6"/>
          </w:tcPr>
          <w:p>
            <w:pPr>
              <w:jc w:val="center"/>
              <w:ind w:right="312"/>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Market for Identical</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4"/>
          </w:tcPr>
          <w:p>
            <w:pPr>
              <w:jc w:val="center"/>
              <w:ind w:left="190"/>
              <w:spacing w:after="0" w:line="99" w:lineRule="exact"/>
              <w:rPr>
                <w:sz w:val="20"/>
                <w:szCs w:val="20"/>
                <w:color w:val="auto"/>
              </w:rPr>
            </w:pPr>
            <w:r>
              <w:rPr>
                <w:rFonts w:ascii="Times New Roman" w:cs="Times New Roman" w:eastAsia="Times New Roman" w:hAnsi="Times New Roman"/>
                <w:sz w:val="10"/>
                <w:szCs w:val="10"/>
                <w:b w:val="1"/>
                <w:bCs w:val="1"/>
                <w:color w:val="auto"/>
                <w:w w:val="95"/>
              </w:rPr>
              <w:t>Instruments</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4"/>
          </w:tcPr>
          <w:p>
            <w:pPr>
              <w:jc w:val="right"/>
              <w:ind w:right="326"/>
              <w:spacing w:after="0" w:line="99" w:lineRule="exact"/>
              <w:rPr>
                <w:sz w:val="20"/>
                <w:szCs w:val="20"/>
                <w:color w:val="auto"/>
              </w:rPr>
            </w:pPr>
            <w:r>
              <w:rPr>
                <w:rFonts w:ascii="Times New Roman" w:cs="Times New Roman" w:eastAsia="Times New Roman" w:hAnsi="Times New Roman"/>
                <w:sz w:val="10"/>
                <w:szCs w:val="10"/>
                <w:b w:val="1"/>
                <w:bCs w:val="1"/>
                <w:color w:val="auto"/>
              </w:rPr>
              <w:t>Observable Inputs</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4"/>
          </w:tcPr>
          <w:p>
            <w:pPr>
              <w:jc w:val="right"/>
              <w:ind w:right="184"/>
              <w:spacing w:after="0" w:line="99" w:lineRule="exact"/>
              <w:rPr>
                <w:sz w:val="20"/>
                <w:szCs w:val="20"/>
                <w:color w:val="auto"/>
              </w:rPr>
            </w:pPr>
            <w:r>
              <w:rPr>
                <w:rFonts w:ascii="Times New Roman" w:cs="Times New Roman" w:eastAsia="Times New Roman" w:hAnsi="Times New Roman"/>
                <w:sz w:val="10"/>
                <w:szCs w:val="10"/>
                <w:b w:val="1"/>
                <w:bCs w:val="1"/>
                <w:color w:val="auto"/>
                <w:w w:val="98"/>
              </w:rPr>
              <w:t>Unobservable Inputs</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Total</w:t>
            </w: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0"/>
                <w:szCs w:val="10"/>
                <w:b w:val="1"/>
                <w:bCs w:val="1"/>
                <w:color w:val="auto"/>
                <w:w w:val="90"/>
              </w:rPr>
              <w:t>Level 1</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4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9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90"/>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0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48"/>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16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24"/>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24"/>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6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33"/>
        </w:trPr>
        <w:tc>
          <w:tcPr>
            <w:tcW w:w="2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1"/>
                <w:szCs w:val="11"/>
                <w:color w:val="auto"/>
              </w:rPr>
              <w:t xml:space="preserve">3,049 </w:t>
            </w:r>
            <w:r>
              <w:rPr>
                <w:rFonts w:ascii="Times New Roman" w:cs="Times New Roman" w:eastAsia="Times New Roman" w:hAnsi="Times New Roman"/>
                <w:sz w:val="16"/>
                <w:szCs w:val="16"/>
                <w:color w:val="auto"/>
                <w:vertAlign w:val="subscript"/>
              </w:rPr>
              <w:t>(1)</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32"/>
              <w:spacing w:after="0" w:line="144" w:lineRule="exact"/>
              <w:rPr>
                <w:sz w:val="20"/>
                <w:szCs w:val="20"/>
                <w:color w:val="auto"/>
              </w:rPr>
            </w:pPr>
            <w:r>
              <w:rPr>
                <w:rFonts w:ascii="Times New Roman" w:cs="Times New Roman" w:eastAsia="Times New Roman" w:hAnsi="Times New Roman"/>
                <w:sz w:val="11"/>
                <w:szCs w:val="11"/>
                <w:color w:val="auto"/>
              </w:rPr>
              <w:t xml:space="preserve">1,340 </w:t>
            </w:r>
            <w:r>
              <w:rPr>
                <w:rFonts w:ascii="Times New Roman" w:cs="Times New Roman" w:eastAsia="Times New Roman" w:hAnsi="Times New Roman"/>
                <w:sz w:val="16"/>
                <w:szCs w:val="16"/>
                <w:color w:val="auto"/>
                <w:vertAlign w:val="subscript"/>
              </w:rPr>
              <w:t>(1)</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37,271</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40,320</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13,269</w:t>
            </w: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Processa common shares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8"/>
                <w:szCs w:val="8"/>
                <w:color w:val="auto"/>
              </w:rPr>
              <w:t>(2)</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 xml:space="preserve">17 </w:t>
            </w:r>
            <w:r>
              <w:rPr>
                <w:rFonts w:ascii="Times New Roman" w:cs="Times New Roman" w:eastAsia="Times New Roman" w:hAnsi="Times New Roman"/>
                <w:sz w:val="8"/>
                <w:szCs w:val="8"/>
                <w:color w:val="auto"/>
              </w:rPr>
              <w:t>(2)</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40" w:right="39" w:hanging="218"/>
        <w:spacing w:after="0" w:line="279" w:lineRule="auto"/>
        <w:tabs>
          <w:tab w:leader="none" w:pos="2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held approximately $37,271 in money market accounts as of September 30, 2024. As of December 31, 2023, the Company held approximately $11,929 in money market accounts.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 The Company holds 41 unrestricted common shares of Processa Pharmaceuticals, Inc. (NASDAQ:PCSA), which it received as part of a royalty arrangement in 2020.</w:t>
      </w:r>
    </w:p>
    <w:p>
      <w:pPr>
        <w:spacing w:after="0" w:line="146" w:lineRule="exact"/>
        <w:rPr>
          <w:sz w:val="20"/>
          <w:szCs w:val="20"/>
          <w:color w:val="auto"/>
        </w:rPr>
      </w:pPr>
    </w:p>
    <w:p>
      <w:pPr>
        <w:ind w:left="240" w:hanging="218"/>
        <w:spacing w:after="0"/>
        <w:tabs>
          <w:tab w:leader="none" w:pos="240"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Contingencies</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Oregon Health &amp; Science University Agreement</w:t>
      </w:r>
    </w:p>
    <w:p>
      <w:pPr>
        <w:spacing w:after="0" w:line="100"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On February 20, 2013, Fennec entered into a new exclusive license agreement with OHSU for exclusive worldwide license rights to intellectual property directed to thiol-based compounds, including PEDMARK and their use in oncology (the "OHSU Agreement"). OHSU will receive certain milestone payments, royalty on net sales for licensed products and royalty on any consideration received from sublicensing of the licensed technology.</w:t>
      </w:r>
    </w:p>
    <w:p>
      <w:pPr>
        <w:spacing w:after="0" w:line="74"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On May 18, 2015, Fennec negotiated an amendment ("Amendment 1") to the OHSU Agreement, which expands Fennec's exclusive license to include the use of N-acetylcysteine as a standalone therapy and/or in combination with PEDMARK for the prevention of ototoxicity induced by chemotherapeutic agents to treat cancers. Further, Amendment 1 adjusts select milestone payments entered in the OHSU Agreement including but not limited to the royalty rate on net sales for licensed products, royalty rate from sublicensing of the licensed technology and the fee payable upon the regulatory approval of a licensed product. Certain milestone payments are due upon FDA approval and achievement of sufficient positive EBITDA over a specified period. PEDMARK received FDA approval in September 2022, however at this time, due to significant uncertainty surrounding timing and magnitude of certain milestones, the Company has only recorded a royalty liability associated with net revenue.</w:t>
      </w:r>
    </w:p>
    <w:p>
      <w:pPr>
        <w:spacing w:after="0" w:line="80"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The term of the OHSU Agreement as amended by Amendment 1 expires on the date of the last to expire claim(s) covered in the patents licensed to Fennec or 8 years, whichever is later. The Company now has a licensed product with regulatory approval that is covered by the Orphan Drug Designation, the parties amended the term of the agreement. PEDMARK® is currently protected by methods of use patents that the Company exclusively licensed from OHSU that expired in Europe in 2021 and that expire in the United States in 2038. The OHSU Agreement is terminable by either Fennec or OHSU in the event of a material breach of the agreement by either party after 45 days prior written notice. Fennec also has the right to terminate the OHSU Agreement at any time upon 60 days prior written notice and payment of all fees due to OHSU under the OHSU Agreement. The Company had accrued approximately $162 in royalty expense to OHSU for the nine-month period ended September 30, 2024. The total amount accrued in royalty expense to OHSU as of September 30, 2024, was $460.</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Litigation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Hope Medical Enterprises, Inc. Inter Partes Review (IPR) Challenges</w:t>
      </w:r>
    </w:p>
    <w:p>
      <w:pPr>
        <w:spacing w:after="0" w:line="98"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On October 29, 2021, Hope Medical Enterprises, Inc. (“Hope”) filed a Petition for inter partes review (IPR2022-00123) with the Patent Trial and Appeal Board (“PTAB”) of the USPTO to invalidate U.S. Patent No. 10,596,190 (the “‘190 Patent”), which is exclusively in-licensed from Oregon Health &amp; Science University (“OHSU”) and relates to a method of using PEDMARK®. The ‘190 Patent was issued on March 24, 2020. On April 18, 2023, the PTAB invalidated the only claim of the‘190 Patent. The final written decision became effective June 20, 2023. The ‘190 Patent was previously listed in the United States Approved Drug Products with Therapeutic Equivalence Evaluations (also known as the “Orange Book”). In light of PTAB’s final written decision on the invalidity of the ‘190 Patent, we requested that the FDA remove the ’190 Patent from the Orange Book. Two United States patent applications claiming priority through the ‘190 Patent remain pending at the United States Patent and Trademark Office (“USPTO”).</w:t>
      </w:r>
    </w:p>
    <w:p>
      <w:pPr>
        <w:spacing w:after="0" w:line="80"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On October 29, 2021, Hope Medical Enterprises, Inc. (“Hope”) filed a Petition for inter partes review (IPR2022-00125) to invalidate our wholly owned U.S. Patent No. 10,792,363 (the “’363 Patent”), which relates to an anhydrous form of STS and its method of manufacture, which is the active pharmaceutical ingredient in the PEDMARK® product. The ‘363 Patent was issued October 6, 2020. During the ‘363 IPR, we disclaimed the patent claims directed to the anhydrous morphic form of STS and continued with claims directed to its method of manufacture. Because the remaining claims in the ‘363 patent are directed to a method of manufacture, the ‘363 patent is not eligible for listing in the Orange Book. In September 2023, the PTAB issued a Final Written Decision in favor of Fennec and upholding the amended claim.</w:t>
      </w:r>
    </w:p>
    <w:p>
      <w:pPr>
        <w:spacing w:after="0" w:line="80"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The USPTO has now granted six additional U.S. patents that cover the PEDMARK formulation and its use, each of which have been, or are in the process of being, listed in the U.S. FDA’s “Orange Book” (U.S. Patent No. 11,291,728 (issued April 5, 2022), U.S. Patent No. 11,510,984 (issued November 29, 2022), U.S. Patent No. 11,617,793 (issued April 4, 2023), U.S. Patent No. 11,964,018 (issued April 23, 2024)). U.S. Patent No. 11,992,530 (issued May 28, 2024), and U.S. Patent No. 11,998,604 (issued June 4, 2024) Five additional United States patent applications from this family are pending at the USPTO covering various sodium thiosulfate formulations and uses. We plan to vigorously defend our intellectual property rights to PEDMARK if challenged. An invalidation of our patents covering PEDMARK could have a material adverse effect on our ability to protect our rights in PEDMARK beyond periods of marketing exclusivity for PEDMARK in the United States under Orphan Drug Designation.</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CIPLA Litigation</w:t>
      </w:r>
    </w:p>
    <w:p>
      <w:pPr>
        <w:spacing w:after="0" w:line="107"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On December 1, 2022, we received a letter dated November 30, 2022, notifying us that CIPLA Ltd. and CIPLA USA (“CIPLA”) submitted to the FDA an ANDA (ANDA No. 218028) for a generic version of PEDMARK (sodium thiosulfate solution) that contains Paragraph IV Certifications on two of our patents covering PEDMARK: the OHSU licensed‘190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 The certifications allege these patents are invalid or will not be infringed by the manufacture, use, or sale of CIPLA’s sodium thiosulfate solution.</w:t>
      </w:r>
    </w:p>
    <w:p>
      <w:pPr>
        <w:spacing w:after="0" w:line="80"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Under the Food, Drug, and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 In addition to the 30-month stay, because we have received Orphan Drug Exclusivity, the FDA may not approve CIPLA’s ANDA for at least 7 years from PEDMARK’s FDA approval date of September 20, 2022, which is September 20, 2029.</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On January 10, 2023, we filed suit against the CIPLA entities in the United States District Court for the District of New Jersey (Case No. 2:23-cv-00123), for infringement of the ’190 Patent, the ’728 Patent, and the ’984 Patent. On April 20, 2023, we filed an Amended Complaint to assert infringement of the ’728 Patent and the ’984 Patent. On April 4, 2023, we were granted US 11,617,793 Patent (the “’793 Patent”) covering the formulation of the PEDMARK product, which was listed in the Orange Book on or around April 17, 2023, and has an expiration date of July 2039. On May 11, 2023, we received written notice of CIPLA’s Paragraph IV Certification as to the ’793 Patent, which was dated May 10, 2023, along with an enclosed statement of alleged factual and legal bases for stating that the ’793 Patent is invalid, unenforceable, and/or will not be infringed by CIPLA’s ANDA Product. On July 27, 2023, we filed a Second Amended Complaint to assert the ‘793 Patent. CIPLA filed an Answer to the Second Amended Complaint on August 31, 2023.</w:t>
      </w:r>
    </w:p>
    <w:p>
      <w:pPr>
        <w:spacing w:after="0" w:line="80"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On April 23, 2024, we were granted US 11,964,018 Patent (the “’018 Patent) covering a method of using our PEDMARK product to reduce ototoxicity in a patient receiving a platinum based chemotherapeutic for the treatment of a cancer, which was listed in the Orange Book on or around May 8, 2024, and has an expiration date of July 2039. On May 28, 2024, we were granted US 11,992,530 Patent (the “’530 Patent”) covering a method of using our PEDMARK product to reduce ototoxicity in a patient receiving a platinum based chemotherapeutic for the treatment of a cancer, which was listed in the Orange Book on or around June 20, 2024, and has an expiration date of July 2039. On June 4, 2024, we were granted US 11,998,604 Patent (the “’604 Patent”) covering a method of using our PEDMARK product to reduce ototoxicity in a patient receiving a platinum based chemotherapeutic for the treatment of a cancer, which was listed in the Orange Book on or around June 24, 2024, and has an expiration date of July 2039.</w:t>
      </w:r>
    </w:p>
    <w:p>
      <w:pPr>
        <w:spacing w:after="0" w:line="71"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On June 13, 2024, we filed a Motion for Leave to File a Third Amended Complaint to focus the ANDA litigation against CIPLA on the ’018 Patent and the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The suit is ongoing.</w:t>
      </w:r>
    </w:p>
    <w:p>
      <w:pPr>
        <w:spacing w:after="0" w:line="65" w:lineRule="exact"/>
        <w:rPr>
          <w:sz w:val="20"/>
          <w:szCs w:val="20"/>
          <w:color w:val="auto"/>
        </w:rPr>
      </w:pPr>
    </w:p>
    <w:p>
      <w:pPr>
        <w:jc w:val="both"/>
        <w:ind w:left="20" w:right="39"/>
        <w:spacing w:after="0" w:line="221" w:lineRule="auto"/>
        <w:rPr>
          <w:sz w:val="20"/>
          <w:szCs w:val="20"/>
          <w:color w:val="auto"/>
        </w:rPr>
      </w:pPr>
      <w:r>
        <w:rPr>
          <w:rFonts w:ascii="Times New Roman" w:cs="Times New Roman" w:eastAsia="Times New Roman" w:hAnsi="Times New Roman"/>
          <w:sz w:val="12"/>
          <w:szCs w:val="12"/>
          <w:color w:val="auto"/>
        </w:rPr>
        <w:t>Further, PEDMARQSI</w:t>
      </w:r>
      <w:r>
        <w:rPr>
          <w:rFonts w:ascii="Times New Roman" w:cs="Times New Roman" w:eastAsia="Times New Roman" w:hAnsi="Times New Roman"/>
          <w:sz w:val="17"/>
          <w:szCs w:val="17"/>
          <w:b w:val="1"/>
          <w:bCs w:val="1"/>
          <w:color w:val="auto"/>
          <w:vertAlign w:val="superscript"/>
        </w:rPr>
        <w:t>®</w:t>
      </w:r>
      <w:r>
        <w:rPr>
          <w:rFonts w:ascii="Times New Roman" w:cs="Times New Roman" w:eastAsia="Times New Roman" w:hAnsi="Times New Roman"/>
          <w:sz w:val="12"/>
          <w:szCs w:val="12"/>
          <w:color w:val="auto"/>
        </w:rPr>
        <w:t xml:space="preserve"> (EU Brand name for PEDMARK) received European Commission approval in June 2023 and was granted 10 years of market exclusivity in Europe under Pediatric Use (“PUMA”).</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Executive Severance</w:t>
      </w:r>
    </w:p>
    <w:p>
      <w:pPr>
        <w:spacing w:after="0" w:line="100"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In the event of termination of Mr. Hackman's (Chief Executive Officer) employment with the Company other than for cause, the Company will be obligated to pay him a one-time severance payment equal to twelve months of salary (currently $550). In the event of termination of Mr. Andrade’s (Chief Financial Officer) employment with the Company other than for cause, the Company will be obligated to pay him a one-time severance payment equal to nine months of salary which is equivalent to $331. Further, as announced on October 28, 2024, each of Mr. Sayad, Mr. Evans, and Ms. Cioffi’s Executive Employment Agreements generally provide that if their employment is terminated without “Cause” (as defined in the applicable Executive Employment Agreement) and other conditions are satisfied, then such executive officer shall receive as severance an amount equal to their then current base salary for a period of nine (9) months, less standard withholdings for tax and social security purposes.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Leases</w:t>
      </w:r>
    </w:p>
    <w:p>
      <w:pPr>
        <w:spacing w:after="0" w:line="109"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w:t>
      </w:r>
    </w:p>
    <w:p>
      <w:pPr>
        <w:spacing w:after="0" w:line="111"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On January 23, 2020, the Company entered into an Office Service Agreement (the “Office Service Agreement”) with Regus to lease office space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jc w:val="both"/>
        <w:ind w:left="20" w:right="80"/>
        <w:spacing w:after="0" w:line="256" w:lineRule="auto"/>
        <w:rPr>
          <w:sz w:val="20"/>
          <w:szCs w:val="20"/>
          <w:color w:val="auto"/>
        </w:rPr>
      </w:pPr>
      <w:r>
        <w:rPr>
          <w:rFonts w:ascii="Times New Roman" w:cs="Times New Roman" w:eastAsia="Times New Roman" w:hAnsi="Times New Roman"/>
          <w:sz w:val="12"/>
          <w:szCs w:val="12"/>
          <w:color w:val="auto"/>
        </w:rPr>
        <w:t>On August 1, 2023, the Company entered into a second Office Service Agreement (the “Second Office Service Agreement”) with Regus to lease office space in Dublin, Ireland. Per the terms of the Second Office Service Agreement, the monthly rent payments are $2. The Company was required to pay a security deposit of $5, which is the equivalent of two months rent. This lease will terminate on January 31, 2025.</w:t>
      </w:r>
    </w:p>
    <w:p>
      <w:pPr>
        <w:spacing w:after="0" w:line="1" w:lineRule="exact"/>
        <w:rPr>
          <w:sz w:val="20"/>
          <w:szCs w:val="20"/>
          <w:color w:val="auto"/>
        </w:rPr>
      </w:pPr>
    </w:p>
    <w:p>
      <w:pPr>
        <w:jc w:val="both"/>
        <w:ind w:left="20" w:right="80"/>
        <w:spacing w:after="0" w:line="252" w:lineRule="auto"/>
        <w:rPr>
          <w:sz w:val="20"/>
          <w:szCs w:val="20"/>
          <w:color w:val="auto"/>
        </w:rPr>
      </w:pPr>
      <w:r>
        <w:rPr>
          <w:rFonts w:ascii="Times New Roman" w:cs="Times New Roman" w:eastAsia="Times New Roman" w:hAnsi="Times New Roman"/>
          <w:sz w:val="12"/>
          <w:szCs w:val="12"/>
          <w:color w:val="auto"/>
        </w:rPr>
        <w:t>The Second Office Service Agreement commenced on August 1, 2023, and terminates on January 31, 2025, thereafter the lease may continue on a month-to-month basis with either party being able to terminate the agreement by providing one months’ advance written notice of termination. The Second Office Service Agreement does not provide an implicit rate, and therefore the Company uses its incremental borrowing rate as the discount rate when measuring the operating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150 basis points for operating leases that commenced after August 2023. The depreciable lives of operating leases and leasehold improvements are limited by the expected lease term.</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Remaining lease terms (in months)</w:t>
            </w:r>
          </w:p>
        </w:tc>
        <w:tc>
          <w:tcPr>
            <w:tcW w:w="3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2"/>
                <w:szCs w:val="12"/>
                <w:color w:val="auto"/>
              </w:rPr>
              <w:t>Discount rate</w:t>
            </w:r>
          </w:p>
        </w:tc>
        <w:tc>
          <w:tcPr>
            <w:tcW w:w="300" w:type="dxa"/>
            <w:vAlign w:val="bottom"/>
          </w:tcPr>
          <w:p>
            <w:pPr>
              <w:spacing w:after="0"/>
              <w:rPr>
                <w:sz w:val="12"/>
                <w:szCs w:val="12"/>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10 %</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2"/>
                <w:szCs w:val="12"/>
                <w:color w:val="auto"/>
              </w:rPr>
              <w:t>Maturities of lease liabilities as of December 31, 2023 were as follows (in thousands):</w:t>
            </w: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3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2024</w:t>
            </w:r>
          </w:p>
        </w:tc>
        <w:tc>
          <w:tcPr>
            <w:tcW w:w="3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2025</w:t>
            </w:r>
          </w:p>
        </w:tc>
        <w:tc>
          <w:tcPr>
            <w:tcW w:w="3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3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20" w:type="dxa"/>
            <w:vAlign w:val="bottom"/>
            <w:tcBorders>
              <w:bottom w:val="single" w:sz="8" w:color="CCEE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lease liabilities</w:t>
            </w:r>
          </w:p>
        </w:tc>
        <w:tc>
          <w:tcPr>
            <w:tcW w:w="300" w:type="dxa"/>
            <w:vAlign w:val="bottom"/>
            <w:tcBorders>
              <w:bottom w:val="single" w:sz="8" w:color="auto"/>
            </w:tcBorders>
          </w:tcPr>
          <w:p>
            <w:pPr>
              <w:jc w:val="right"/>
              <w:ind w:right="140"/>
              <w:spacing w:after="0" w:line="133" w:lineRule="exact"/>
              <w:rPr>
                <w:sz w:val="20"/>
                <w:szCs w:val="20"/>
                <w:color w:val="auto"/>
              </w:rPr>
            </w:pPr>
            <w:r>
              <w:rPr>
                <w:rFonts w:ascii="Calibri" w:cs="Calibri" w:eastAsia="Calibri" w:hAnsi="Calibri"/>
                <w:sz w:val="12"/>
                <w:szCs w:val="12"/>
                <w:color w:val="auto"/>
              </w:rPr>
              <w:t>$</w:t>
            </w:r>
          </w:p>
        </w:tc>
        <w:tc>
          <w:tcPr>
            <w:tcW w:w="1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2"/>
                <w:szCs w:val="12"/>
                <w:color w:val="auto"/>
              </w:rPr>
              <w:t>Current operating lease liabilities</w:t>
            </w:r>
          </w:p>
        </w:tc>
        <w:tc>
          <w:tcPr>
            <w:tcW w:w="300" w:type="dxa"/>
            <w:vAlign w:val="bottom"/>
          </w:tcPr>
          <w:p>
            <w:pPr>
              <w:jc w:val="right"/>
              <w:ind w:right="140"/>
              <w:spacing w:after="0" w:line="142" w:lineRule="exact"/>
              <w:rPr>
                <w:sz w:val="20"/>
                <w:szCs w:val="20"/>
                <w:color w:val="auto"/>
              </w:rPr>
            </w:pPr>
            <w:r>
              <w:rPr>
                <w:rFonts w:ascii="Calibri" w:cs="Calibri" w:eastAsia="Calibri" w:hAnsi="Calibri"/>
                <w:sz w:val="12"/>
                <w:szCs w:val="12"/>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operating lease liabilities</w:t>
            </w:r>
          </w:p>
        </w:tc>
        <w:tc>
          <w:tcPr>
            <w:tcW w:w="3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2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lease liabilities</w:t>
            </w:r>
          </w:p>
        </w:tc>
        <w:tc>
          <w:tcPr>
            <w:tcW w:w="30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Calibri" w:cs="Calibri" w:eastAsia="Calibri" w:hAnsi="Calibri"/>
                <w:sz w:val="12"/>
                <w:szCs w:val="12"/>
                <w:color w:val="auto"/>
              </w:rPr>
              <w:t>$</w:t>
            </w:r>
          </w:p>
        </w:tc>
        <w:tc>
          <w:tcPr>
            <w:tcW w:w="1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Employee Benefit Plan</w:t>
      </w:r>
    </w:p>
    <w:p>
      <w:pPr>
        <w:spacing w:after="0" w:line="154" w:lineRule="exact"/>
        <w:rPr>
          <w:sz w:val="20"/>
          <w:szCs w:val="20"/>
          <w:color w:val="auto"/>
        </w:rPr>
      </w:pPr>
    </w:p>
    <w:p>
      <w:pPr>
        <w:jc w:val="both"/>
        <w:ind w:left="20" w:right="80"/>
        <w:spacing w:after="0" w:line="265" w:lineRule="auto"/>
        <w:rPr>
          <w:sz w:val="20"/>
          <w:szCs w:val="20"/>
          <w:color w:val="auto"/>
        </w:rPr>
      </w:pPr>
      <w:r>
        <w:rPr>
          <w:rFonts w:ascii="Times New Roman" w:cs="Times New Roman" w:eastAsia="Times New Roman" w:hAnsi="Times New Roman"/>
          <w:sz w:val="12"/>
          <w:szCs w:val="12"/>
          <w:color w:val="auto"/>
        </w:rPr>
        <w:t>In May 2021, the Company established the Fennec Pharmaceuticals, Inc. 401(k) Plan (the “401(k) Plan”) for its employees, which is designed to be qualified under Section 401(k) of the Internal Revenue Code of 1986. Eligible employees are permitted to contribute to the 401(k) Plan within statutory and 401(k) Plan limits. As of September 30, 2024, the Company does not offer matching contributions.</w:t>
      </w:r>
    </w:p>
    <w:p>
      <w:pPr>
        <w:spacing w:after="0" w:line="124" w:lineRule="exact"/>
        <w:rPr>
          <w:sz w:val="20"/>
          <w:szCs w:val="20"/>
          <w:color w:val="auto"/>
        </w:rPr>
      </w:pPr>
    </w:p>
    <w:p>
      <w:pPr>
        <w:ind w:left="20"/>
        <w:spacing w:after="0"/>
        <w:tabs>
          <w:tab w:leader="none" w:pos="200" w:val="left"/>
        </w:tabs>
        <w:rPr>
          <w:sz w:val="20"/>
          <w:szCs w:val="20"/>
          <w:color w:val="auto"/>
        </w:rPr>
      </w:pPr>
      <w:r>
        <w:rPr>
          <w:rFonts w:ascii="Times New Roman" w:cs="Times New Roman" w:eastAsia="Times New Roman" w:hAnsi="Times New Roman"/>
          <w:sz w:val="12"/>
          <w:szCs w:val="12"/>
          <w:b w:val="1"/>
          <w:bCs w:val="1"/>
          <w:color w:val="auto"/>
        </w:rPr>
        <w:t>7.</w:t>
      </w:r>
      <w:r>
        <w:rPr>
          <w:sz w:val="20"/>
          <w:szCs w:val="20"/>
          <w:color w:val="auto"/>
        </w:rPr>
        <w:tab/>
      </w:r>
      <w:r>
        <w:rPr>
          <w:rFonts w:ascii="Times New Roman" w:cs="Times New Roman" w:eastAsia="Times New Roman" w:hAnsi="Times New Roman"/>
          <w:sz w:val="11"/>
          <w:szCs w:val="11"/>
          <w:b w:val="1"/>
          <w:bCs w:val="1"/>
          <w:color w:val="auto"/>
        </w:rPr>
        <w:t>Term Loans</w:t>
      </w:r>
    </w:p>
    <w:p>
      <w:pPr>
        <w:spacing w:after="0" w:line="154" w:lineRule="exact"/>
        <w:rPr>
          <w:sz w:val="20"/>
          <w:szCs w:val="20"/>
          <w:color w:val="auto"/>
        </w:rPr>
      </w:pPr>
    </w:p>
    <w:p>
      <w:pPr>
        <w:jc w:val="both"/>
        <w:ind w:left="20" w:right="80"/>
        <w:spacing w:after="0" w:line="265" w:lineRule="auto"/>
        <w:rPr>
          <w:sz w:val="20"/>
          <w:szCs w:val="20"/>
          <w:color w:val="auto"/>
        </w:rPr>
      </w:pPr>
      <w:r>
        <w:rPr>
          <w:rFonts w:ascii="Times New Roman" w:cs="Times New Roman" w:eastAsia="Times New Roman" w:hAnsi="Times New Roman"/>
          <w:sz w:val="12"/>
          <w:szCs w:val="12"/>
          <w:color w:val="auto"/>
        </w:rPr>
        <w:t>On August 1, 2022, the Company entered into the SPA with the Investor in connection with the issuance of up to $45,000 of Notes, issuable in multiple tranches (see Note 1). On August 19, 2022, the Company closed on the initial tranche of $5,000, which has an Initial Conversion Price equal to $8.11 per share, which was calculated based on a 20% premium of the 5-day VWAP immediately prior to the announcement of the SPA. In connection with the first closing, the Company</w:t>
      </w:r>
    </w:p>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60"/>
          </w:cols>
          <w:pgMar w:left="1440" w:top="390" w:right="139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repaid in full its secured indebtedness with Bridge Bank in the amount of $5,000. The Notes become due on the maturity date, which is August 19, 2027.</w:t>
      </w:r>
    </w:p>
    <w:p>
      <w:pPr>
        <w:spacing w:after="0" w:line="150"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On September 23, 2022, the Company closed on the second tranche of the Note Financing in the amount of $20,000, which has an Initial Conversion Price equal to $7.89 per share, which was calculated based on a 20% premium of the 5-day VWAP immediately prior to the date the Company obtained FDA approval for PEDMARK.</w:t>
      </w:r>
    </w:p>
    <w:p>
      <w:pPr>
        <w:spacing w:after="0" w:line="111"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Subsequent to the funding of the Second Closing Note, and before December 31, 2023, the Company may draw up to $20,000 of additional financing under the SPA, in one or more tranches of $10,000 upon mutual agreement of the Company and the Investor (the “Subsequent Closing Notes”). The Subsequent Closing Notes will be convertible at a price per share equal to $7.89 per share, which price is calculated on the same basis as for the Second Closing Note.</w:t>
      </w:r>
    </w:p>
    <w:p>
      <w:pPr>
        <w:spacing w:after="0" w:line="119"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A commitment fee of 2.0% of the Notes was payable under the SPA, which was paid by the Company issuing the Investor warrants to purchase 110,996 of the Company’s common shares (one half issued at the first closing and the other half issued at the second closing). The warrants are exercisable at a price per share of $8.11 and have a term of five years from the date of the grant.</w:t>
      </w:r>
    </w:p>
    <w:p>
      <w:pPr>
        <w:spacing w:after="0" w:line="119"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On December 4, 2023, the Company closed a third tranche under the SPA in the amount of $5,000 and issued the Investor a Note in the same amount that is convertible at a price equal to $7.89 per share, which price was calculated on the same basis as the Second Closing Note.</w:t>
      </w:r>
    </w:p>
    <w:p>
      <w:pPr>
        <w:spacing w:after="0" w:line="111"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Also on December 4, 2023, the Company entered into the SPA Amendment, which, among other things, extends the period that the Company may draw the remaining $15,000 under the SPA from December 31, 2023, to December 31, 2024. Subsequent draws are subject to mutual agreement of the Company and the Investor and will be represented by Notes that will also be convertible at a price equal to $7.89 per share.</w:t>
      </w:r>
    </w:p>
    <w:p>
      <w:pPr>
        <w:spacing w:after="0" w:line="119"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Cash interest on outstanding principal shall accrue at a rate of prime, plus 4.5% per annum, from the date of funding (13% at September 30, 2024 and 13% as of December 31, 2023). Cash interest is due on the first business day of each calendar quarter (“Interest Date”). Payment-in-kind (“PIK”) interest will commence on funding date and accrue at a rate of 3.5% per annum. PIK interest will stop accruing on August 24, 2024. Any accrued PIK interest shall remain outstanding and be payable on each Interest Date and be added to the outstanding principal amount. The Company has accrued $1,600 in PIK interest and has classified the PIK interest in long-term liabilities.</w:t>
      </w:r>
    </w:p>
    <w:p>
      <w:pPr>
        <w:spacing w:after="0" w:line="122"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The Notes are convertible into fully paid, non-assessable shares of the Company’s common shares at any point after their issuance dates and before the maturity date. Any amount of the Notes may be converted into common shares so long as it does not create partial shares. The conversion rate is determined by dividing the conversion amount by the conversion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price. Provisions of the SPA create legal, valid and enforceable liens on, and security interests in, all of the Company’s and each of its subsidiaries’ assets.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Aggregate annual payments due on the SPA as of September 30, 2024, are as follows (in thousands):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Years Ending December 31,</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0" w:type="dxa"/>
            <w:vAlign w:val="bottom"/>
          </w:tcPr>
          <w:p>
            <w:pPr>
              <w:jc w:val="right"/>
              <w:ind w:right="901"/>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33"/>
        </w:trPr>
        <w:tc>
          <w:tcPr>
            <w:tcW w:w="63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2024</w:t>
            </w: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5"/>
                <w:szCs w:val="5"/>
                <w:color w:val="auto"/>
                <w:w w:val="78"/>
              </w:rPr>
              <w:t>$</w:t>
            </w:r>
          </w:p>
        </w:tc>
        <w:tc>
          <w:tcPr>
            <w:tcW w:w="1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r>
      <w:tr>
        <w:trPr>
          <w:trHeight w:val="144"/>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 in kind interest</w:t>
            </w:r>
          </w:p>
        </w:tc>
        <w:tc>
          <w:tcPr>
            <w:tcW w:w="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2,323</w:t>
            </w:r>
          </w:p>
        </w:tc>
      </w:tr>
      <w:tr>
        <w:trPr>
          <w:trHeight w:val="133"/>
        </w:trPr>
        <w:tc>
          <w:tcPr>
            <w:tcW w:w="658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future payments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32,323</w:t>
            </w:r>
          </w:p>
        </w:tc>
      </w:tr>
      <w:tr>
        <w:trPr>
          <w:trHeight w:val="144"/>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unamortized debt discount</w:t>
            </w:r>
          </w:p>
        </w:tc>
        <w:tc>
          <w:tcPr>
            <w:tcW w:w="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r>
      <w:tr>
        <w:trPr>
          <w:trHeight w:val="140"/>
        </w:trPr>
        <w:tc>
          <w:tcPr>
            <w:tcW w:w="65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term loan, net of debt discount</w:t>
            </w: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5"/>
                <w:szCs w:val="5"/>
                <w:color w:val="auto"/>
                <w:w w:val="78"/>
              </w:rPr>
              <w:t>$</w:t>
            </w:r>
          </w:p>
        </w:tc>
        <w:tc>
          <w:tcPr>
            <w:tcW w:w="1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32,096</w:t>
            </w:r>
          </w:p>
        </w:tc>
      </w:tr>
    </w:tbl>
    <w:p>
      <w:pPr>
        <w:spacing w:after="0" w:line="133"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In the event of default or change of control, all unpaid principal and all accrued and unpaid interest amounts (if any) become immediately due and payable. Events of default include, but are not limited to, a payment default, a material adverse change, and insolvency. The SPA facility is secured by all the Company’s assets, including all capital stock held by the Company.</w:t>
      </w:r>
    </w:p>
    <w:p>
      <w:pPr>
        <w:spacing w:after="0" w:line="111"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Debt issuance costs of $175 were paid in cash for legal fees and to the Investor in 2022 and warrants valued at $441 were granted to the Investor to secure access to the SPA. These amounts were capitalized and are being amortized over the access period of the SPA. Upon drawing tranche 1 through 3, the Company recorded a debt discount of $227, which was based on a pro-rata allocation of the issue costs to secure the SPA, reducing the capitalized amount by the same amount. The debt discount is being amortized over the life of the SPA.</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License Agreement</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License Agreement with Norgine Pharma UK Limited</w:t>
      </w:r>
    </w:p>
    <w:p>
      <w:pPr>
        <w:spacing w:after="0" w:line="152" w:lineRule="exact"/>
        <w:rPr>
          <w:sz w:val="20"/>
          <w:szCs w:val="20"/>
          <w:color w:val="auto"/>
        </w:rPr>
      </w:pPr>
    </w:p>
    <w:p>
      <w:pPr>
        <w:jc w:val="both"/>
        <w:ind w:left="20" w:right="39"/>
        <w:spacing w:after="0"/>
        <w:rPr>
          <w:sz w:val="20"/>
          <w:szCs w:val="20"/>
          <w:color w:val="auto"/>
        </w:rPr>
      </w:pPr>
      <w:r>
        <w:rPr>
          <w:rFonts w:ascii="Times New Roman" w:cs="Times New Roman" w:eastAsia="Times New Roman" w:hAnsi="Times New Roman"/>
          <w:sz w:val="12"/>
          <w:szCs w:val="12"/>
          <w:color w:val="auto"/>
        </w:rPr>
        <w:t>On March 17, 2024, the Company announced that, through its wholly-owned subsidiary, Fennec Pharmaceuticals, Inc. entered into a License and Supply Agreement (the “Agreement”) with Norgine Pharma UK Limited (“Norgine”), pursuant to which Norgine is granted an exclusive license to commercialize the Company’s product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(known as PEDMARK in the United States) for all human indications in the European Economic Area, Switzerland, the United Kingdom, Australia and New Zealand (collectively, the “Territory”). On July 26, 2024, Norgine and Fennec amended the exclusive licensing agreement. The amended agreement maintains all principal payment terms with the primary addition of Norgine assuming responsibility for packaging and labeling of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w:t>
      </w:r>
    </w:p>
    <w:p>
      <w:pPr>
        <w:spacing w:after="0" w:line="59" w:lineRule="exact"/>
        <w:rPr>
          <w:sz w:val="20"/>
          <w:szCs w:val="20"/>
          <w:color w:val="auto"/>
        </w:rPr>
      </w:pPr>
    </w:p>
    <w:p>
      <w:pPr>
        <w:jc w:val="both"/>
        <w:ind w:left="20" w:right="39"/>
        <w:spacing w:after="0" w:line="217" w:lineRule="auto"/>
        <w:rPr>
          <w:sz w:val="20"/>
          <w:szCs w:val="20"/>
          <w:color w:val="auto"/>
        </w:rPr>
      </w:pPr>
      <w:r>
        <w:rPr>
          <w:rFonts w:ascii="Times New Roman" w:cs="Times New Roman" w:eastAsia="Times New Roman" w:hAnsi="Times New Roman"/>
          <w:sz w:val="12"/>
          <w:szCs w:val="12"/>
          <w:color w:val="auto"/>
        </w:rPr>
        <w:t>Pursuant to the terms of the Agreement, Fennec shall receive the following payments from Norgine: (i) an upfront payment in the amount of €40,000 or approximately $43,200, which was paid to Fennec on March 15, 2024, (ii) up to €210,000 (or approximately $230,000) upon the achievement of certain regulatory and commercial milestones, and (iii) tiered royalty payments based on net sales of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the Territory, which royalty payment range from mid-teen percent to mid-twenty percent based on the aggregate net sales of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the Territory. The tiered royalty payments are subject to material reduction if an alternative or generic version of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becomes available in any respective country or jurisdiction within the Territory.</w:t>
      </w:r>
    </w:p>
    <w:p>
      <w:pPr>
        <w:spacing w:after="0" w:line="136" w:lineRule="exact"/>
        <w:rPr>
          <w:sz w:val="20"/>
          <w:szCs w:val="20"/>
          <w:color w:val="auto"/>
        </w:rPr>
      </w:pPr>
    </w:p>
    <w:p>
      <w:pPr>
        <w:jc w:val="both"/>
        <w:ind w:left="20" w:right="39"/>
        <w:spacing w:after="0" w:line="225" w:lineRule="auto"/>
        <w:rPr>
          <w:sz w:val="20"/>
          <w:szCs w:val="20"/>
          <w:color w:val="auto"/>
        </w:rPr>
      </w:pPr>
      <w:r>
        <w:rPr>
          <w:rFonts w:ascii="Times New Roman" w:cs="Times New Roman" w:eastAsia="Times New Roman" w:hAnsi="Times New Roman"/>
          <w:sz w:val="12"/>
          <w:szCs w:val="12"/>
          <w:color w:val="auto"/>
        </w:rPr>
        <w:t>Subject to customary rights of each party to earlier terminate the Agreement, the term of the Agreement continues for the longer of: (i) March 15, 2034, or (ii) with respect to any particular country in the Territory, (a) the expiration of regulatory market exclusivity for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such country, or (b) the last-to-expire of all patents for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such country. The term of the Agreement shall be automatically renewed for additional three-year periods unless either party</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provides the other party written notice of its intent not to renew the Agreement at least one year prior to the applicable termination date of the Agreement.</w:t>
      </w:r>
    </w:p>
    <w:p>
      <w:pPr>
        <w:spacing w:after="0" w:line="150"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The Company evaluated the Agreement under ASC 606 and concluded that Norgine represents a customer in the transaction. There were two performance obligations: a license of functional IP and a material right for future supply. The Company will allocate the transaction price, including currently unrecognized variable consideration, to the two performance obligations based on estimated standalone selling price, which was estimated using projected cash flows. The initial transaction price consisted of the non-refundable upfront payment, a portion of which was allocated to and recognized as License Revenue in the first quarter of 2024 as the requirements for revenue recognition under ASC 606 were met. The portion of the transaction price associated with the material right is deferred and reflected as deferred revenue in the condensed consolidated balance sheets. Deferred revenue associated with the material right is recognized as contract liabilities under the supply arrangement are made.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or deferred as part of the material right in the period when the related sales threshold is met. All other milestones will be recognized as revenue or deferred as part of the material right immediately in the period the underlying milestone is achieved. Any consideration related to sales-based royalties will be recognized as revenue or deferred as part of the material right when the related sales occur. For the nine months ended September 30, 2024, the Company did not recognize any milestone or royalty revenue payments from Norgine sales of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pursuant to the Agreement.</w:t>
      </w:r>
    </w:p>
    <w:p>
      <w:pPr>
        <w:spacing w:after="0" w:line="52"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In conjunction with entering into the Agreement, the Company paid approximately $1,700 in incremental costs, which were capitalized and recorded within other non-current assets. The Company amortizes the asset over the period of expected benefit using a systematic basis that reflects the pattern of transfer to the customer. A portion that represents the license was recognized immediately and is recorded within selling and marketing expense in the condensed consolidated statements of operations. As of September 30, 2024, $948 in incremental cost was capitalized.</w:t>
      </w:r>
    </w:p>
    <w:p>
      <w:pPr>
        <w:spacing w:after="0" w:line="118" w:lineRule="exact"/>
        <w:rPr>
          <w:sz w:val="20"/>
          <w:szCs w:val="20"/>
          <w:color w:val="auto"/>
        </w:rPr>
      </w:pPr>
    </w:p>
    <w:p>
      <w:pPr>
        <w:ind w:left="240" w:hanging="218"/>
        <w:spacing w:after="0"/>
        <w:tabs>
          <w:tab w:leader="none" w:pos="240"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Subsequent Events</w:t>
      </w:r>
    </w:p>
    <w:p>
      <w:pPr>
        <w:spacing w:after="0" w:line="154"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On October 28, 2024, Fennec Pharmaceuticals Inc.’s (the “Company”) announced the appointments of Mr. Pierre S. Sayad, PhD, M.S., as Chief Medical Officer (“CMO”), Mr. Terry Evans as Chief Commercial Officer (“CCO”), and Ms. Christiana Cioffi, MBA, as Chief Strategy Officer (“CSO”), all of which became effective on October 28, 2024. There are no arrangements or understandings between each of Mr. Sayad, Mr. Evans, or Ms. Cioffi, and any other person pursuant to which such individual was appointed as CMO, CCO, and CSO, respectively. Neither Mr. Sayad, Mr. Evans, nor Ms. Cioffi have any family relationships with any other executive officer or director of the Company. None of these appointments have been involved in any related person transactions with the Company that would require disclosure under Item 404(a) of Regulation S-K.</w:t>
      </w:r>
    </w:p>
    <w:p>
      <w:pPr>
        <w:spacing w:after="0" w:line="152"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In connection with their appointments to CMO, COO, and CSO, respectively, Mr. Sayad, Mr. Evans, and Ms. Cioffi each entered into an Executive Employment Agreement with the Company effective as of October 28, 2024. Each of these Executive Employment Agreements is an “at-will” agreement.</w:t>
      </w:r>
    </w:p>
    <w:p>
      <w:pPr>
        <w:spacing w:after="0" w:line="129"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Pursuant to the terms of Mr. Sayad’s Executive Employment Agreement, his initial base annualized salary will be at a rate of $450,000, subject to review and increase from time to time by the Company in its sole discretion. He shall be entitled to receive an annual target performance bonus (“Target Bonus”) of forty percent (40%) of his base salary per 12-month period (which may be pro-rated for any partial period of less than 12 months), based upon a determination by the Company’s Board of Directors (“Board”) of the achievement of objectives to be set from time to time by the Board, provided that he must remain employed through the payment date to be eligible to receive the Target Bonus. In addition, the Company will grant Mr. Sayad 150,000 options to purchase common shares of the Company which (i) have an exercise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 dollars and shares in thousands, except per share information)</w:t>
      </w:r>
    </w:p>
    <w:p>
      <w:pPr>
        <w:spacing w:after="0" w:line="139"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price per share equal to the “Fair Market Value” (as defined in Company’s 2020 Equity Incentive Plan); (ii) have a term of ten years, with one-third of the options vesting one year after the date of grant and the balance thereof vesting monthly thereafter for two years in equal increments, and (iii) are otherwise subject to the terms and conditions set forth in the Company’s 2020 Equity Incentive Plan.</w:t>
      </w:r>
    </w:p>
    <w:p>
      <w:pPr>
        <w:spacing w:after="0" w:line="146"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Pursuant to the terms of Mr. Evans’ Executive Employment Agreement, his initial base annualized salary will be at a rate of $400,000, subject to review and increase from time to time by the Company in its sole discretion. He shall be entitled to receive a Target Bonus of forty percent (40%) of his base salary per 12-month period (which may be pro-rated for any partial period of less than 12 months), based upon a determination by the Board of the achievement of objectives to be set from time to time by the Board, provided that he must remain employed through the payment date to be eligible to receive the Target Bonus. In addition, the Company will grant Mr. Evans 150,000 options to purchase common shares of the Company which (i) have an exercise price per share equal to the “Fair Market Value” (as defined in Company’s 2020 Equity Incentive Plan); (ii) have a term of ten years, with one- third of the options vesting one year after the date of grant and the balance thereof vesting monthly thereafter for two years in equal increments, and (iii) are otherwise subject to the terms and conditions set forth in the Company’s 2020 Equity Incentive Plan.</w:t>
      </w:r>
    </w:p>
    <w:p>
      <w:pPr>
        <w:spacing w:after="0" w:line="144"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Pursuant to the terms of Ms. Cioffi’s Executive Employment Agreement, her initial base annualized salary will be at a rate of $375,000, subject to review and increase from time to time by the Company in its sole discretion. She shall be entitled to receive a Target Bonus of forty percent (40%) of her base salary per 12-month period (which may be pro-rated for any partial period of less than 12 months), based upon a determination by the Board of the achievement of objectives to be set from time to time by the Board, provided that she must remain employed through the payment date to be eligible to receive the Target Bonus. In addition, the Company will grant Ms. Cioffi 150,000 options to purchase common shares of the Company which (i) have an exercise price per share equal to the “Fair Market Value” (as defined in Company’s 2020 Equity Incentive Plan); (ii) have a term of ten years, with one- third of the options vesting one year after the date of grant and the balance thereof vesting monthly thereafter for two years in equal increments, and (iii) are otherwise subject to the terms and conditions set forth in the Company’s 2020 Equity Incentive Plan.</w:t>
      </w:r>
    </w:p>
    <w:p>
      <w:pPr>
        <w:spacing w:after="0" w:line="153"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Each of Mr. Sayad, Mr. Evans, and Ms. Cioffi’s Executive Employment Agreements generally provide that if their employment is terminated without “Cause” (as defined in the applicable Executive Employment Agreement) and other conditions are satisfied, then such executive officer shall receive as severance an amount equal to their then current base salary for a period of nine (9) months, less standard withholdings for tax and social security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Item 2. Management's Discussion and Analysis of Financial Condition and Results of Operations.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Caution Concerning Forward-Looking Statements</w:t>
      </w:r>
    </w:p>
    <w:p>
      <w:pPr>
        <w:spacing w:after="0" w:line="154" w:lineRule="exact"/>
        <w:rPr>
          <w:sz w:val="20"/>
          <w:szCs w:val="20"/>
          <w:color w:val="auto"/>
        </w:rPr>
      </w:pPr>
    </w:p>
    <w:p>
      <w:pPr>
        <w:jc w:val="both"/>
        <w:ind w:left="20" w:right="39"/>
        <w:spacing w:after="0" w:line="254" w:lineRule="auto"/>
        <w:rPr>
          <w:sz w:val="20"/>
          <w:szCs w:val="20"/>
          <w:color w:val="auto"/>
        </w:rPr>
      </w:pPr>
      <w:r>
        <w:rPr>
          <w:rFonts w:ascii="Times New Roman" w:cs="Times New Roman" w:eastAsia="Times New Roman" w:hAnsi="Times New Roman"/>
          <w:sz w:val="12"/>
          <w:szCs w:val="12"/>
          <w:color w:val="auto"/>
        </w:rPr>
        <w:t>The following discussion and analysis of our financial condition and results of operations should be read in conjunction with our Annual Report on Form 10-K for the fiscal year ended December 31, 2023, filed with the SEC on March 29, 2024 (the “Annual Report”) and our unaudited interim condensed consolidated financial statements and related notes appearing in this Quarterly Report on Form 10-Q (the “Quarterly Report”). Some of the information contained in this discussion and analysis or set forth elsewhere in this Quarterly Report, including information with respect to our plans and strategy for our business, includes forward 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spacing w:after="0" w:line="126"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The following discussion should be read in conjunction with our Annual Report and the condensed consolidated financial statements and accompanying notes included elsewhere in this report.</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47" w:lineRule="exact"/>
        <w:rPr>
          <w:sz w:val="20"/>
          <w:szCs w:val="20"/>
          <w:color w:val="auto"/>
        </w:rPr>
      </w:pPr>
    </w:p>
    <w:p>
      <w:pPr>
        <w:jc w:val="both"/>
        <w:ind w:left="20" w:right="39"/>
        <w:spacing w:after="0" w:line="237" w:lineRule="auto"/>
        <w:rPr>
          <w:sz w:val="20"/>
          <w:szCs w:val="20"/>
          <w:color w:val="auto"/>
        </w:rPr>
      </w:pPr>
      <w:r>
        <w:rPr>
          <w:rFonts w:ascii="Times New Roman" w:cs="Times New Roman" w:eastAsia="Times New Roman" w:hAnsi="Times New Roman"/>
          <w:sz w:val="12"/>
          <w:szCs w:val="12"/>
          <w:color w:val="auto"/>
        </w:rPr>
        <w:t>We are a commercial-stage biopharmaceutical company focused on our only product PEDMARK in the United States and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the European brand name for PEDMARK. On September 20, 2022, we received approval from the US Food and Drug Administration (“FDA”) for PEDMARK (sodium thiosulfate injection) to reduce the risk of ototoxicity associated with cisplatin in pediatric patients one month of age and older with localized, non-metastatic solid tumors. This approval makes PEDMARK the first and only treatment approved by the FDA in this area of unmet medical need. On October 17, 2022, we announced commercial availability of PEDMARK in the U. S. In addition, in January 2023, PEDMARK was included in the National Comprehensive Cancer Network (NCCN) clinical practice guidelines for Adolescent and Young Adult (AYA) Oncology with a category 2A recommendation.</w:t>
      </w:r>
    </w:p>
    <w:p>
      <w:pPr>
        <w:spacing w:after="0" w:line="126" w:lineRule="exact"/>
        <w:rPr>
          <w:sz w:val="20"/>
          <w:szCs w:val="20"/>
          <w:color w:val="auto"/>
        </w:rPr>
      </w:pPr>
    </w:p>
    <w:p>
      <w:pPr>
        <w:jc w:val="both"/>
        <w:ind w:left="20" w:right="39"/>
        <w:spacing w:after="0" w:line="220" w:lineRule="auto"/>
        <w:rPr>
          <w:sz w:val="20"/>
          <w:szCs w:val="20"/>
          <w:color w:val="auto"/>
        </w:rPr>
      </w:pPr>
      <w:r>
        <w:rPr>
          <w:rFonts w:ascii="Times New Roman" w:cs="Times New Roman" w:eastAsia="Times New Roman" w:hAnsi="Times New Roman"/>
          <w:sz w:val="12"/>
          <w:szCs w:val="12"/>
          <w:color w:val="auto"/>
        </w:rPr>
        <w:t>In June 2023, we received European Commission Marketing Authorization for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Further, the decision included the receipt of a Pediatric Use Marketing Authorization (“PUMA”) in the European Union (“EU”) with up to 10 years of data and market protection.</w:t>
      </w:r>
    </w:p>
    <w:p>
      <w:pPr>
        <w:spacing w:after="0" w:line="126" w:lineRule="exact"/>
        <w:rPr>
          <w:sz w:val="20"/>
          <w:szCs w:val="20"/>
          <w:color w:val="auto"/>
        </w:rPr>
      </w:pPr>
    </w:p>
    <w:p>
      <w:pPr>
        <w:jc w:val="both"/>
        <w:ind w:left="20" w:right="39"/>
        <w:spacing w:after="0" w:line="237" w:lineRule="auto"/>
        <w:rPr>
          <w:sz w:val="20"/>
          <w:szCs w:val="20"/>
          <w:color w:val="auto"/>
        </w:rPr>
      </w:pPr>
      <w:r>
        <w:rPr>
          <w:rFonts w:ascii="Times New Roman" w:cs="Times New Roman" w:eastAsia="Times New Roman" w:hAnsi="Times New Roman"/>
          <w:sz w:val="12"/>
          <w:szCs w:val="12"/>
          <w:color w:val="auto"/>
        </w:rPr>
        <w:t>On March 17, 2024, we announced that we had entered into an exclusive licensing agreement with Norgine to commercialize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Europe, New Zealand and Australia. The licensing agreement provided us with approximately $43,200 up front and may provide us with up to approximately $230,000 in milestone and royalty payments in the future. Norgine is currently preparing for an EU launch of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the next several months.</w:t>
      </w:r>
    </w:p>
    <w:p>
      <w:pPr>
        <w:spacing w:after="0" w:line="61"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In the U.S., we sell our product through an experienced field force and medical science liaisons who are helping to educate the medical communities and patients about cisplatin induced ototoxicity and our programs supporting patient access to PEDMARK.</w:t>
      </w:r>
    </w:p>
    <w:p>
      <w:pPr>
        <w:spacing w:after="0" w:line="111"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Further, in the United States we have established Fennec HEARS™, a comprehensive single source program designed to connect PEDMARK patients to both patient financial and product access support. The program offers assistance and resources, regardless of insurance type, that can address co-pays or lack of coverage when certain eligibility requirements are met. Fennec HEARS™ also provides access to care coordinators that can answer insurance questions about coverage for PEDMARK and provide tips and resources for managing treatment.</w:t>
      </w:r>
    </w:p>
    <w:p>
      <w:pPr>
        <w:spacing w:after="0" w:line="122"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We received Orphan Drug Exclusivity for PEDMARK in January 2023, which provides seven years of market exclusivity from its FDA approval on September 20, 2022, until September 20, 2029. We currently have six patents listed for</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PEDMARK in the FDA’s Orange Book. In September 2022, the USPTO issued Patent No. 11,291,728 (the “US ‘728 Patent”), in December 2022, the USPTO issued Patent No. 11,510,984 (“US ‘984 Patent”) and in April 2023, the USPTO issued Patent No. 11,671,793 (“US ‘793 Patent”) that covers PEDMARK pharmaceutical formulation. Further, additional issued patents included US 11,964,018 Patent (the “’US 018’ Patent) and US 11,992,530 Patent (the “US ’530 Patent”) and US 11,998,604 Patent (the “’604 Patent”) covering methods of using our PEDMARK product to reduce ototoxicity in a patient receiving a platinum based chemotherapeutic for the treatment of a cancer. The US ‘728, US ‘984 US ‘793, US ‘018, US’530 and US’604 patents will expire in 2039. We are also pursuing additional patent applications in both the U.S. and internationally for PEDMARK.</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PEDMARK</w:t>
      </w:r>
      <w:r>
        <w:rPr>
          <w:rFonts w:ascii="Times New Roman" w:cs="Times New Roman" w:eastAsia="Times New Roman" w:hAnsi="Times New Roman"/>
          <w:sz w:val="17"/>
          <w:szCs w:val="17"/>
          <w:b w:val="1"/>
          <w:bCs w:val="1"/>
          <w:color w:val="auto"/>
          <w:vertAlign w:val="superscript"/>
        </w:rPr>
        <w:t>®</w:t>
      </w:r>
      <w:r>
        <w:rPr>
          <w:rFonts w:ascii="Times New Roman" w:cs="Times New Roman" w:eastAsia="Times New Roman" w:hAnsi="Times New Roman"/>
          <w:sz w:val="12"/>
          <w:szCs w:val="12"/>
          <w:b w:val="1"/>
          <w:bCs w:val="1"/>
          <w:color w:val="auto"/>
        </w:rPr>
        <w:t xml:space="preserve"> Product Overview</w:t>
      </w:r>
    </w:p>
    <w:p>
      <w:pPr>
        <w:spacing w:after="0" w:line="102" w:lineRule="exact"/>
        <w:rPr>
          <w:sz w:val="20"/>
          <w:szCs w:val="20"/>
          <w:color w:val="auto"/>
        </w:rPr>
      </w:pPr>
    </w:p>
    <w:p>
      <w:pPr>
        <w:jc w:val="both"/>
        <w:ind w:left="20" w:right="39"/>
        <w:spacing w:after="0" w:line="234" w:lineRule="auto"/>
        <w:rPr>
          <w:sz w:val="20"/>
          <w:szCs w:val="20"/>
          <w:color w:val="auto"/>
        </w:rPr>
      </w:pPr>
      <w:r>
        <w:rPr>
          <w:rFonts w:ascii="Times New Roman" w:cs="Times New Roman" w:eastAsia="Times New Roman" w:hAnsi="Times New Roman"/>
          <w:sz w:val="12"/>
          <w:szCs w:val="12"/>
          <w:color w:val="auto"/>
        </w:rPr>
        <w:t>PEDMARK is the first and only therapy approved by the FDA indicated to reduce the risk of ototoxicity associated with cisplatin treatment in pediatric patients with localized, non-metastatic, solid tumors. Further, PEDMARQSI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known as PEDMARK in the U.S., was granted marketing authorization by the European Commission in June 2023. PEDMARK is a unique formulation of sodium thiosulfate in single-dose, ready-to-use vials for intravenous use in pediatric patients. PEDMARK is also the only therapeutic agent with proven efficacy and safety data with an established dosing paradigm, across two open-label, randomized Phase 3 clinical studies, the Clinical Oncology Group (“COG”) Protocol ACCL0431 and SIOPEL 6.</w:t>
      </w:r>
    </w:p>
    <w:p>
      <w:pPr>
        <w:spacing w:after="0" w:line="135"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In the U.S. and Europe, it is estimated that more than 10,000 children annually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spacing w:after="0" w:line="122"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Cisplatin Induced Ototoxicity</w:t>
      </w:r>
    </w:p>
    <w:p>
      <w:pPr>
        <w:spacing w:after="0" w:line="181"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Cisplatin and other platinum compounds are essential chemotherapeutic agents for the treatment of many pediatric malignancies. Unfortunately, platinum-based therapies can cause ototoxicity, or hearing loss, which is permanent, irreversible, and particularly harmful to the survivors of pediatric cancer.</w:t>
      </w:r>
    </w:p>
    <w:p>
      <w:pPr>
        <w:spacing w:after="0" w:line="138"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incidence of ototoxicity depends upon the dose and duration of chemotherapy, and many of these children require lifelong hearing aids or cochlear implants, which can be helpful for some, but do not reverse the hearing loss and can be costly over time. Infants and young children that are affected by ototoxicity at critical stages of development lack speech and language development and literacy, and older children and adolescents often lack social-emotional development and educational achievement.</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Three months ended September 30, 2024 versus three months ended September 30, 2023:</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of U.S. Dollars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80" w:type="dxa"/>
            <w:vAlign w:val="bottom"/>
            <w:vMerge w:val="restart"/>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540" w:type="dxa"/>
            <w:vAlign w:val="bottom"/>
            <w:vMerge w:val="restart"/>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115"/>
        </w:trPr>
        <w:tc>
          <w:tcPr>
            <w:tcW w:w="3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September 30, 2023</w:t>
            </w: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Product sales, net</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6,974</w:t>
            </w:r>
          </w:p>
        </w:tc>
        <w:tc>
          <w:tcPr>
            <w:tcW w:w="1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6,515</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459</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product sales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9"/>
              </w:rPr>
              <w:t>11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9"/>
              </w:rPr>
              <w:t>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80" w:type="dxa"/>
            <w:vAlign w:val="bottom"/>
          </w:tcPr>
          <w:p>
            <w:pPr>
              <w:spacing w:after="0"/>
              <w:rPr>
                <w:sz w:val="12"/>
                <w:szCs w:val="12"/>
                <w:color w:val="auto"/>
              </w:rPr>
            </w:pPr>
          </w:p>
        </w:tc>
        <w:tc>
          <w:tcPr>
            <w:tcW w:w="480" w:type="dxa"/>
            <w:vAlign w:val="bottom"/>
          </w:tcPr>
          <w:p>
            <w:pPr>
              <w:jc w:val="center"/>
              <w:ind w:left="42"/>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2"/>
                <w:szCs w:val="12"/>
                <w:color w:val="auto"/>
              </w:rPr>
            </w:pPr>
          </w:p>
        </w:tc>
        <w:tc>
          <w:tcPr>
            <w:tcW w:w="540" w:type="dxa"/>
            <w:vAlign w:val="bottom"/>
          </w:tcPr>
          <w:p>
            <w:pPr>
              <w:jc w:val="center"/>
              <w:ind w:left="62"/>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9"/>
              </w:rPr>
              <w:t>38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9"/>
              </w:rPr>
              <w:t>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General and administration</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6,121</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jc w:val="center"/>
              <w:ind w:left="62"/>
              <w:spacing w:after="0"/>
              <w:rPr>
                <w:sz w:val="20"/>
                <w:szCs w:val="20"/>
                <w:color w:val="auto"/>
              </w:rPr>
            </w:pPr>
            <w:r>
              <w:rPr>
                <w:rFonts w:ascii="Times New Roman" w:cs="Times New Roman" w:eastAsia="Times New Roman" w:hAnsi="Times New Roman"/>
                <w:sz w:val="12"/>
                <w:szCs w:val="12"/>
                <w:color w:val="auto"/>
                <w:w w:val="99"/>
              </w:rPr>
              <w:t>50</w:t>
            </w:r>
          </w:p>
        </w:tc>
        <w:tc>
          <w:tcPr>
            <w:tcW w:w="2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3,805</w:t>
            </w: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jc w:val="center"/>
              <w:ind w:left="82"/>
              <w:spacing w:after="0"/>
              <w:rPr>
                <w:sz w:val="20"/>
                <w:szCs w:val="20"/>
                <w:color w:val="auto"/>
              </w:rPr>
            </w:pPr>
            <w:r>
              <w:rPr>
                <w:rFonts w:ascii="Times New Roman" w:cs="Times New Roman" w:eastAsia="Times New Roman" w:hAnsi="Times New Roman"/>
                <w:sz w:val="12"/>
                <w:szCs w:val="12"/>
                <w:color w:val="auto"/>
                <w:w w:val="99"/>
              </w:rPr>
              <w:t>51</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expense</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12,176</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42"/>
              <w:spacing w:after="0" w:line="133" w:lineRule="exact"/>
              <w:rPr>
                <w:sz w:val="20"/>
                <w:szCs w:val="20"/>
                <w:color w:val="auto"/>
              </w:rPr>
            </w:pPr>
            <w:r>
              <w:rPr>
                <w:rFonts w:ascii="Times New Roman" w:cs="Times New Roman" w:eastAsia="Times New Roman" w:hAnsi="Times New Roman"/>
                <w:sz w:val="12"/>
                <w:szCs w:val="12"/>
                <w:color w:val="auto"/>
                <w:w w:val="99"/>
              </w:rPr>
              <w:t>100</w:t>
            </w:r>
          </w:p>
        </w:tc>
        <w:tc>
          <w:tcPr>
            <w:tcW w:w="2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7,532</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62"/>
              <w:spacing w:after="0" w:line="133" w:lineRule="exact"/>
              <w:rPr>
                <w:sz w:val="20"/>
                <w:szCs w:val="20"/>
                <w:color w:val="auto"/>
              </w:rPr>
            </w:pPr>
            <w:r>
              <w:rPr>
                <w:rFonts w:ascii="Times New Roman" w:cs="Times New Roman" w:eastAsia="Times New Roman" w:hAnsi="Times New Roman"/>
                <w:sz w:val="12"/>
                <w:szCs w:val="12"/>
                <w:color w:val="auto"/>
                <w:w w:val="99"/>
              </w:rPr>
              <w:t>100</w:t>
            </w:r>
          </w:p>
        </w:tc>
        <w:tc>
          <w:tcPr>
            <w:tcW w:w="2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4,644</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Loss from operations</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(5,202)</w:t>
            </w:r>
          </w:p>
        </w:tc>
        <w:tc>
          <w:tcPr>
            <w:tcW w:w="1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(1,017)</w:t>
            </w:r>
          </w:p>
        </w:tc>
        <w:tc>
          <w:tcPr>
            <w:tcW w:w="16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(4,185)</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Unrealized loss on securities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expense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(1,025)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(856)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Unrealized foreign exchange (loss)/gain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(5,735)</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(1,867)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(3,868)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80" w:right="39" w:hanging="224"/>
        <w:spacing w:after="0" w:line="279"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reported net product sales for the three-month period ended September 30, 2024 of $6,974 and gross profit of $5,617 compared to net product sales of $6,515 and gross profit of $6,184 in the comparable period in 2023.</w:t>
      </w:r>
    </w:p>
    <w:p>
      <w:pPr>
        <w:spacing w:after="0" w:line="111" w:lineRule="exact"/>
        <w:rPr>
          <w:rFonts w:ascii="Times New Roman" w:cs="Times New Roman" w:eastAsia="Times New Roman" w:hAnsi="Times New Roman"/>
          <w:sz w:val="12"/>
          <w:szCs w:val="12"/>
          <w:color w:val="auto"/>
        </w:rPr>
      </w:pPr>
    </w:p>
    <w:p>
      <w:pPr>
        <w:jc w:val="both"/>
        <w:ind w:left="480" w:right="39" w:hanging="224"/>
        <w:spacing w:after="0" w:line="265"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expenses increased by $85 for the three months ended September 30, 2024, compared to the same period in 2023. Our research and development activities for this period consisted of costs associated with investigator initiated clinical trials. During the same period in 2023 and prior to approval of PEDMARK, manufacturing costs pertaining to PEDMARK were expensed to R&amp;D expense in the period incurred, and following approval are reflected in inventory.</w:t>
      </w:r>
    </w:p>
    <w:p>
      <w:pPr>
        <w:spacing w:after="0" w:line="118" w:lineRule="exact"/>
        <w:rPr>
          <w:rFonts w:ascii="Times New Roman" w:cs="Times New Roman" w:eastAsia="Times New Roman" w:hAnsi="Times New Roman"/>
          <w:sz w:val="12"/>
          <w:szCs w:val="12"/>
          <w:color w:val="auto"/>
        </w:rPr>
      </w:pPr>
    </w:p>
    <w:p>
      <w:pPr>
        <w:jc w:val="both"/>
        <w:ind w:left="480" w:right="39" w:hanging="224"/>
        <w:spacing w:after="0" w:line="260"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and marketing expenses were $4,601 for the three months ended September 30, 2024 compared to $3,384 for the comparable three month period in 2023. Selling and marketing expenses include remuneration of our sales and marketing employees, dollars spent on marketing campaigns (sponsorships, trade shows, presentations, etc.), and any activities to support marketing and sales activities. The increase is largely related to increased payroll and additional marketing expenses in the comparable period as we focused on expanding our outreach to community oncology centers and the adolescent and young adult (AYA) population.</w:t>
      </w:r>
    </w:p>
    <w:p>
      <w:pPr>
        <w:spacing w:after="0" w:line="122" w:lineRule="exact"/>
        <w:rPr>
          <w:rFonts w:ascii="Times New Roman" w:cs="Times New Roman" w:eastAsia="Times New Roman" w:hAnsi="Times New Roman"/>
          <w:sz w:val="12"/>
          <w:szCs w:val="12"/>
          <w:color w:val="auto"/>
        </w:rPr>
      </w:pPr>
    </w:p>
    <w:p>
      <w:pPr>
        <w:ind w:left="480" w:right="39" w:hanging="224"/>
        <w:spacing w:after="0" w:line="279"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and administrative expenses increased by $2,316 compared to the same period in 2023, as a result of an increase in select expenses such as salaries, equity renumeration and intellectual property litigation expenses compared to the same period in 2023.</w:t>
      </w:r>
    </w:p>
    <w:p>
      <w:pPr>
        <w:spacing w:after="0" w:line="12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 increased $169 compared to the same period in 2023. This increase is associated with higher debt levels as compared with the same period in 2023.</w:t>
      </w:r>
    </w:p>
    <w:p>
      <w:pPr>
        <w:spacing w:after="0" w:line="150" w:lineRule="exact"/>
        <w:rPr>
          <w:rFonts w:ascii="Times New Roman" w:cs="Times New Roman" w:eastAsia="Times New Roman" w:hAnsi="Times New Roman"/>
          <w:sz w:val="12"/>
          <w:szCs w:val="12"/>
          <w:color w:val="auto"/>
        </w:rPr>
      </w:pPr>
    </w:p>
    <w:p>
      <w:pPr>
        <w:jc w:val="both"/>
        <w:ind w:left="480" w:right="39" w:hanging="224"/>
        <w:spacing w:after="0" w:line="260"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Additionally, we hold shares of Processa Pharmaceuticals, Inc. (“Processa”) (NASDAQ: PCSA) which are marked to market each balance sheet date and unrealized gains or losses are recognized at that time. The value of the Processa shares held by us decreased for the three month period ended September 30, 2024, as compared with the same period in 2023. Other losses were driven mainly by unrealized losses related to our foreign currency transactions. We have vendors that transact in Euros, Great British Pounds and Canadian Dollars.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480" w:right="39" w:hanging="224"/>
        <w:spacing w:after="0" w:line="260" w:lineRule="auto"/>
        <w:tabs>
          <w:tab w:leader="none" w:pos="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Amortization expense is also a non-cash expense and relates to amortization of the deferred issuance costs of the loan facilities with Petrichor. Amortization expense decreased by $51 for the three months ended September 30, 2023, compared to the same period in 2023. Interest income increased by $414 for the three months ended September 30, 2024, compared to the same period in 2023. This increase in interest income was primarily driven by a higher cash balance and higher interest rates for the three months ended September 30, 2024, compared to the same period in 2023.</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Nine months ended September 30, 2024, versus nine months ended September 30, 2023:</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of U.S. Dollars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0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3"/>
              </w:rPr>
              <w:t>Nine Months Ended</w:t>
            </w:r>
          </w:p>
        </w:tc>
        <w:tc>
          <w:tcPr>
            <w:tcW w:w="660" w:type="dxa"/>
            <w:vAlign w:val="bottom"/>
            <w:vMerge w:val="restart"/>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115"/>
        </w:trPr>
        <w:tc>
          <w:tcPr>
            <w:tcW w:w="3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5"/>
              </w:rPr>
              <w:t>September 30, 2023</w:t>
            </w:r>
          </w:p>
        </w:tc>
        <w:tc>
          <w:tcPr>
            <w:tcW w:w="6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Product sales, net</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21,655</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11,517</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Licensing revenue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17,958</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39,613</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11,517</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28,096</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Cost of product sales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2,515</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14,482</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8,255</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administration</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18,857</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operating expense</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36,111</w:t>
            </w:r>
          </w:p>
        </w:tc>
        <w:tc>
          <w:tcPr>
            <w:tcW w:w="20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300" w:type="dxa"/>
            <w:vAlign w:val="bottom"/>
            <w:tcBorders>
              <w:bottom w:val="single" w:sz="8" w:color="CCEEFF"/>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22,470</w:t>
            </w:r>
          </w:p>
        </w:tc>
        <w:tc>
          <w:tcPr>
            <w:tcW w:w="1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300" w:type="dxa"/>
            <w:vAlign w:val="bottom"/>
            <w:tcBorders>
              <w:bottom w:val="single" w:sz="8" w:color="CCEEFF"/>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13,641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 from operations</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3,502</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(10,953)</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14,455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Unrealized loss on securities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expense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(64)</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(217)</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(3,103)</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(2,479)</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Unrealized foreign exchange (loss)/gain</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(55)</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1,549</w:t>
            </w:r>
          </w:p>
        </w:tc>
        <w:tc>
          <w:tcPr>
            <w:tcW w:w="2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(13,363)</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14,912</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480" w:right="39" w:hanging="224"/>
        <w:spacing w:after="0" w:line="279" w:lineRule="auto"/>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recorded net product sales of $21,655 and $17,958 in licensing revenue related to the Norgine transaction for the nine-month period ended September 30, 2024, compared to $11,517 in net product sales and no licensing revenue for the same period in 2023.</w:t>
      </w:r>
    </w:p>
    <w:p>
      <w:pPr>
        <w:spacing w:after="0" w:line="111" w:lineRule="exact"/>
        <w:rPr>
          <w:rFonts w:ascii="Times New Roman" w:cs="Times New Roman" w:eastAsia="Times New Roman" w:hAnsi="Times New Roman"/>
          <w:sz w:val="12"/>
          <w:szCs w:val="12"/>
          <w:color w:val="auto"/>
        </w:rPr>
      </w:pPr>
    </w:p>
    <w:p>
      <w:pPr>
        <w:jc w:val="both"/>
        <w:ind w:left="480" w:right="39" w:hanging="224"/>
        <w:spacing w:after="0" w:line="260" w:lineRule="auto"/>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and marketing expenses include distribution costs, logistics, shipping and insurance, advertising, wages commissions and out-of-pocket expenses. We recorded $14,482 in selling and marketing expenses for the nine-month period ended September 30, 2024, compared to $8,255 for the same period in 2023. The increase is largely related to increased payroll and additional marketing expenses in the comparable period as we focused on expanding our outreach to community oncology centers and the adolescent and young adult (AYA) population.</w:t>
      </w:r>
    </w:p>
    <w:p>
      <w:pPr>
        <w:spacing w:after="0" w:line="122" w:lineRule="exact"/>
        <w:rPr>
          <w:rFonts w:ascii="Times New Roman" w:cs="Times New Roman" w:eastAsia="Times New Roman" w:hAnsi="Times New Roman"/>
          <w:sz w:val="12"/>
          <w:szCs w:val="12"/>
          <w:color w:val="auto"/>
        </w:rPr>
      </w:pPr>
    </w:p>
    <w:p>
      <w:pPr>
        <w:jc w:val="both"/>
        <w:ind w:left="480" w:right="39" w:hanging="224"/>
        <w:spacing w:after="0" w:line="265" w:lineRule="auto"/>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was a $5,240 increase in general and administrative expenses for the nine-months ended September 30, 2024, compared to same period in 2023. There was an increase in consulting and professional costs compared to same period in 2023 which is largely attributable to increased European pre-commercialization related expenses and expenses associated with the Norgine transaction and intellectual property expenses related to ongoing litigation.</w:t>
      </w:r>
    </w:p>
    <w:p>
      <w:pPr>
        <w:spacing w:after="0" w:line="118" w:lineRule="exact"/>
        <w:rPr>
          <w:rFonts w:ascii="Times New Roman" w:cs="Times New Roman" w:eastAsia="Times New Roman" w:hAnsi="Times New Roman"/>
          <w:sz w:val="12"/>
          <w:szCs w:val="12"/>
          <w:color w:val="auto"/>
        </w:rPr>
      </w:pPr>
    </w:p>
    <w:p>
      <w:pPr>
        <w:jc w:val="both"/>
        <w:ind w:left="480" w:right="39" w:hanging="224"/>
        <w:spacing w:after="0" w:line="265" w:lineRule="auto"/>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the Processa shares held by us declined by $14 for nine-months ended September 30, 2024. The shares declined in value by $43 during same period in 2023. We acquired the Processa shares on October 30, 2020. The Processa shares are marked to market at each balance sheet date with the resulting change in value being booked as an unrealized gain or loss.</w:t>
      </w:r>
    </w:p>
    <w:p>
      <w:pPr>
        <w:spacing w:after="0" w:line="118"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Amortization expense decreased by $153 for nine-months ended September 30, 2024, over the same period in 2023.</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right="59" w:hanging="224"/>
        <w:spacing w:after="0" w:line="279" w:lineRule="auto"/>
        <w:tabs>
          <w:tab w:leader="none" w:pos="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expenses increased by $624 for the nine-month ended September 30, 2024 compared to the same period in 2023. The increase was driven mainly by higher average debt balances and higher interest rates on long-term debt.</w:t>
      </w:r>
    </w:p>
    <w:p>
      <w:pPr>
        <w:spacing w:after="0" w:line="111" w:lineRule="exact"/>
        <w:rPr>
          <w:rFonts w:ascii="Times New Roman" w:cs="Times New Roman" w:eastAsia="Times New Roman" w:hAnsi="Times New Roman"/>
          <w:sz w:val="12"/>
          <w:szCs w:val="12"/>
          <w:color w:val="auto"/>
        </w:rPr>
      </w:pPr>
    </w:p>
    <w:p>
      <w:pPr>
        <w:ind w:left="480" w:right="319" w:hanging="224"/>
        <w:spacing w:after="0" w:line="279" w:lineRule="auto"/>
        <w:tabs>
          <w:tab w:leader="none" w:pos="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income increased by $957 for the nine-months ended September 30, 2024, as compared to the same period in 2023, due to higher cash balances and higher rates on money market accounts for the comparable periods.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Selected Asset and Liability Data (thousands):</w:t>
            </w:r>
          </w:p>
        </w:tc>
        <w:tc>
          <w:tcPr>
            <w:tcW w:w="140" w:type="dxa"/>
            <w:vAlign w:val="bottom"/>
          </w:tcPr>
          <w:p>
            <w:pPr>
              <w:spacing w:after="0"/>
              <w:rPr>
                <w:sz w:val="10"/>
                <w:szCs w:val="1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80" w:type="dxa"/>
            <w:vAlign w:val="bottom"/>
          </w:tcPr>
          <w:p>
            <w:pPr>
              <w:spacing w:after="0"/>
              <w:rPr>
                <w:sz w:val="10"/>
                <w:szCs w:val="10"/>
                <w:color w:val="auto"/>
              </w:rPr>
            </w:pPr>
          </w:p>
        </w:tc>
        <w:tc>
          <w:tcPr>
            <w:tcW w:w="1000" w:type="dxa"/>
            <w:vAlign w:val="bottom"/>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115"/>
        </w:trPr>
        <w:tc>
          <w:tcPr>
            <w:tcW w:w="6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180" w:type="dxa"/>
            <w:vAlign w:val="bottom"/>
          </w:tcPr>
          <w:p>
            <w:pPr>
              <w:spacing w:after="0"/>
              <w:rPr>
                <w:sz w:val="10"/>
                <w:szCs w:val="10"/>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0" w:type="dxa"/>
            <w:vAlign w:val="bottom"/>
          </w:tcPr>
          <w:p>
            <w:pPr>
              <w:spacing w:after="0"/>
              <w:rPr>
                <w:sz w:val="1"/>
                <w:szCs w:val="1"/>
                <w:color w:val="auto"/>
              </w:rPr>
            </w:pPr>
          </w:p>
        </w:tc>
      </w:tr>
      <w:tr>
        <w:trPr>
          <w:trHeight w:val="133"/>
        </w:trPr>
        <w:tc>
          <w:tcPr>
            <w:tcW w:w="62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equivalents</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40,320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13,269</w:t>
            </w:r>
          </w:p>
        </w:tc>
        <w:tc>
          <w:tcPr>
            <w:tcW w:w="0" w:type="dxa"/>
            <w:vAlign w:val="bottom"/>
          </w:tcPr>
          <w:p>
            <w:pPr>
              <w:spacing w:after="0"/>
              <w:rPr>
                <w:sz w:val="1"/>
                <w:szCs w:val="1"/>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1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13,589</w:t>
            </w:r>
          </w:p>
        </w:tc>
        <w:tc>
          <w:tcPr>
            <w:tcW w:w="0" w:type="dxa"/>
            <w:vAlign w:val="bottom"/>
          </w:tcPr>
          <w:p>
            <w:pPr>
              <w:spacing w:after="0"/>
              <w:rPr>
                <w:sz w:val="1"/>
                <w:szCs w:val="1"/>
                <w:color w:val="auto"/>
              </w:rPr>
            </w:pP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7,553</w:t>
            </w:r>
          </w:p>
        </w:tc>
        <w:tc>
          <w:tcPr>
            <w:tcW w:w="0" w:type="dxa"/>
            <w:vAlign w:val="bottom"/>
          </w:tcPr>
          <w:p>
            <w:pPr>
              <w:spacing w:after="0"/>
              <w:rPr>
                <w:sz w:val="1"/>
                <w:szCs w:val="1"/>
                <w:color w:val="auto"/>
              </w:rPr>
            </w:pPr>
          </w:p>
        </w:tc>
      </w:tr>
      <w:tr>
        <w:trPr>
          <w:trHeight w:val="144"/>
        </w:trPr>
        <w:tc>
          <w:tcPr>
            <w:tcW w:w="640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 xml:space="preserve">Working capital </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19,305</w:t>
            </w:r>
          </w:p>
        </w:tc>
        <w:tc>
          <w:tcPr>
            <w:tcW w:w="0" w:type="dxa"/>
            <w:vAlign w:val="bottom"/>
          </w:tcPr>
          <w:p>
            <w:pPr>
              <w:spacing w:after="0"/>
              <w:rPr>
                <w:sz w:val="1"/>
                <w:szCs w:val="1"/>
                <w:color w:val="auto"/>
              </w:rPr>
            </w:pPr>
          </w:p>
        </w:tc>
      </w:tr>
      <w:tr>
        <w:trPr>
          <w:trHeight w:val="144"/>
        </w:trPr>
        <w:tc>
          <w:tcPr>
            <w:tcW w:w="64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1"/>
                <w:szCs w:val="11"/>
                <w:color w:val="auto"/>
              </w:rPr>
              <w:t xml:space="preserve"> [Current assets – current liabilities]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Selected Equity:</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and additional paid in capital</w:t>
            </w:r>
          </w:p>
        </w:tc>
        <w:tc>
          <w:tcPr>
            <w:tcW w:w="1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211,282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206,380</w:t>
            </w:r>
          </w:p>
        </w:tc>
        <w:tc>
          <w:tcPr>
            <w:tcW w:w="0" w:type="dxa"/>
            <w:vAlign w:val="bottom"/>
          </w:tcPr>
          <w:p>
            <w:pPr>
              <w:spacing w:after="0"/>
              <w:rPr>
                <w:sz w:val="1"/>
                <w:szCs w:val="1"/>
                <w:color w:val="auto"/>
              </w:rPr>
            </w:pP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(217,696)</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(219,245)</w:t>
            </w:r>
          </w:p>
        </w:tc>
        <w:tc>
          <w:tcPr>
            <w:tcW w:w="0" w:type="dxa"/>
            <w:vAlign w:val="bottom"/>
          </w:tcPr>
          <w:p>
            <w:pPr>
              <w:spacing w:after="0"/>
              <w:rPr>
                <w:sz w:val="1"/>
                <w:szCs w:val="1"/>
                <w:color w:val="auto"/>
              </w:rPr>
            </w:pPr>
          </w:p>
        </w:tc>
      </w:tr>
      <w:tr>
        <w:trPr>
          <w:trHeight w:val="155"/>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14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(5,171)</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(11,622)</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Cash and cash equivalents were $40,320 as of September 30, 2024, and $13,269 at December 31, 2023. The increase in cash and cash equivalents between September 30, 2024 and December 31, 2023 is the result of cash outlays for operating expenses related to the promotion of our product, small amounts of research and development and general and administrative expenses, which were offset by cash inflows of $43,200 from Norgine licensing deal, cash collections on product sales of $8,923 and cash inflows of $1,131 from various option exercises. There was an increase of $4,056 other current assets between September 30, 2024, and December 31, 2023, and a decrease in current liabilities of $118. The overall result was an increase in working capital of $31,225.</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illustrates a summary of cash flows data for the nine-month periods of September 30, 2024 and 2023:</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600" w:type="dxa"/>
            <w:vAlign w:val="bottom"/>
          </w:tcPr>
          <w:p>
            <w:pPr>
              <w:ind w:left="2280"/>
              <w:spacing w:after="0"/>
              <w:rPr>
                <w:sz w:val="20"/>
                <w:szCs w:val="20"/>
                <w:color w:val="auto"/>
              </w:rPr>
            </w:pPr>
            <w:r>
              <w:rPr>
                <w:rFonts w:ascii="Times New Roman" w:cs="Times New Roman" w:eastAsia="Times New Roman" w:hAnsi="Times New Roman"/>
                <w:sz w:val="10"/>
                <w:szCs w:val="10"/>
                <w:b w:val="1"/>
                <w:bCs w:val="1"/>
                <w:color w:val="auto"/>
              </w:rPr>
              <w:t>Selected Cash Flow Data</w:t>
            </w:r>
          </w:p>
        </w:tc>
        <w:tc>
          <w:tcPr>
            <w:tcW w:w="1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880" w:type="dxa"/>
            <w:vAlign w:val="bottom"/>
            <w:tcBorders>
              <w:bottom w:val="single" w:sz="8" w:color="auto"/>
            </w:tcBorders>
          </w:tcPr>
          <w:p>
            <w:pPr>
              <w:spacing w:after="0"/>
              <w:rPr>
                <w:sz w:val="10"/>
                <w:szCs w:val="10"/>
                <w:color w:val="auto"/>
              </w:rPr>
            </w:pPr>
          </w:p>
        </w:tc>
      </w:tr>
      <w:tr>
        <w:trPr>
          <w:trHeight w:val="88"/>
        </w:trPr>
        <w:tc>
          <w:tcPr>
            <w:tcW w:w="5600" w:type="dxa"/>
            <w:vAlign w:val="bottom"/>
            <w:tcBorders>
              <w:bottom w:val="single" w:sz="8" w:color="auto"/>
            </w:tcBorders>
          </w:tcPr>
          <w:p>
            <w:pPr>
              <w:ind w:left="2120"/>
              <w:spacing w:after="0" w:line="88" w:lineRule="exact"/>
              <w:rPr>
                <w:sz w:val="20"/>
                <w:szCs w:val="20"/>
                <w:color w:val="auto"/>
              </w:rPr>
            </w:pPr>
            <w:r>
              <w:rPr>
                <w:rFonts w:ascii="Times New Roman" w:cs="Times New Roman" w:eastAsia="Times New Roman" w:hAnsi="Times New Roman"/>
                <w:sz w:val="10"/>
                <w:szCs w:val="10"/>
                <w:b w:val="1"/>
                <w:bCs w:val="1"/>
                <w:color w:val="auto"/>
              </w:rPr>
              <w:t>(dollars and shares in thousands)</w:t>
            </w:r>
          </w:p>
        </w:tc>
        <w:tc>
          <w:tcPr>
            <w:tcW w:w="1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jc w:val="right"/>
              <w:ind w:right="564"/>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622"/>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2023</w:t>
            </w:r>
          </w:p>
        </w:tc>
      </w:tr>
      <w:tr>
        <w:trPr>
          <w:trHeight w:val="133"/>
        </w:trPr>
        <w:tc>
          <w:tcPr>
            <w:tcW w:w="5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 (used in) operating activities</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28,454</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(12,283)</w:t>
            </w:r>
          </w:p>
        </w:tc>
      </w:tr>
      <w:tr>
        <w:trPr>
          <w:trHeight w:val="144"/>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investing activities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 provided by financing activities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(1,403)</w:t>
            </w: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908</w:t>
            </w:r>
          </w:p>
        </w:tc>
      </w:tr>
      <w:tr>
        <w:trPr>
          <w:trHeight w:val="140"/>
        </w:trPr>
        <w:tc>
          <w:tcPr>
            <w:tcW w:w="5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cash flow</w:t>
            </w: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27,051</w:t>
            </w: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(11,375)</w:t>
            </w:r>
          </w:p>
        </w:tc>
      </w:tr>
    </w:tbl>
    <w:p>
      <w:pPr>
        <w:spacing w:after="0" w:line="133" w:lineRule="exact"/>
        <w:rPr>
          <w:sz w:val="20"/>
          <w:szCs w:val="20"/>
          <w:color w:val="auto"/>
        </w:rPr>
      </w:pPr>
    </w:p>
    <w:p>
      <w:pPr>
        <w:jc w:val="both"/>
        <w:ind w:left="20" w:right="39"/>
        <w:spacing w:after="0" w:line="254" w:lineRule="auto"/>
        <w:rPr>
          <w:sz w:val="20"/>
          <w:szCs w:val="20"/>
          <w:color w:val="auto"/>
        </w:rPr>
      </w:pPr>
      <w:r>
        <w:rPr>
          <w:rFonts w:ascii="Times New Roman" w:cs="Times New Roman" w:eastAsia="Times New Roman" w:hAnsi="Times New Roman"/>
          <w:sz w:val="12"/>
          <w:szCs w:val="12"/>
          <w:color w:val="auto"/>
        </w:rPr>
        <w:t>Net cash provided by operating activities for the nine-month period ended September 30, 2024 and 2023, primarily reflected a net income of $1,549 and a net loss of $13,363 million respectively. The nine-month income was adjusted for the add back of non-cash items consisting of $5,893 and $5,434, respectively, in stock-based compensation expense, amortization of debt access fee of $774 and $166, respectively, and addition of PIK interest of $1,104 and 677, respectively, for the nine months ended September 30, 2024, and 2023. For the nine months ended September 30, 2024 there was an increase in other current assets of $3,455 and $3,636 during the same period in 2023. For the nine months ended September 30, 2024, there was a net increase in current liabilities of $24,457 and a net decrease of $41 during the same period in 2023. Nine-month cash flows provided by operating activities were $28,454 million and net cash flows used in operating activities were $12,283, respectively, for the periods ended September 30, 2024 and 2023. Net cash flows used in financing activities for the nine months ended September 30, 2024, were $1,403 and net cash provided were $908, respectively. Net cash flows from the nine-month period ended September 30, 2024, and 2023, were positive $27,051, and negative $11,375, respectively.</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Outstanding Share Information</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Our outstanding share data as of September 30, 2024 and December 31, 2023 was as follows (in thousands):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Outstanding Share Type</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115"/>
        </w:trPr>
        <w:tc>
          <w:tcPr>
            <w:tcW w:w="6140" w:type="dxa"/>
            <w:vAlign w:val="bottom"/>
            <w:gridSpan w:val="2"/>
            <w:vMerge w:val="continue"/>
          </w:tcPr>
          <w:p>
            <w:pPr>
              <w:spacing w:after="0"/>
              <w:rPr>
                <w:sz w:val="10"/>
                <w:szCs w:val="10"/>
                <w:color w:val="auto"/>
              </w:rPr>
            </w:pPr>
          </w:p>
        </w:tc>
        <w:tc>
          <w:tcPr>
            <w:tcW w:w="920" w:type="dxa"/>
            <w:vAlign w:val="bottom"/>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10"/>
                <w:szCs w:val="10"/>
                <w:color w:val="auto"/>
              </w:rPr>
            </w:pP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9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Common shares</w:t>
            </w: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27,422</w:t>
            </w: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27,027</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44"/>
        </w:trPr>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5,455</w:t>
            </w:r>
          </w:p>
        </w:tc>
        <w:tc>
          <w:tcPr>
            <w:tcW w:w="16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5,032</w:t>
            </w:r>
          </w:p>
        </w:tc>
        <w:tc>
          <w:tcPr>
            <w:tcW w:w="14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0" w:type="dxa"/>
            <w:vAlign w:val="bottom"/>
          </w:tcPr>
          <w:p>
            <w:pPr>
              <w:spacing w:after="0"/>
              <w:rPr>
                <w:sz w:val="1"/>
                <w:szCs w:val="1"/>
                <w:color w:val="auto"/>
              </w:rPr>
            </w:pPr>
          </w:p>
        </w:tc>
      </w:tr>
      <w:tr>
        <w:trPr>
          <w:trHeight w:val="140"/>
        </w:trPr>
        <w:tc>
          <w:tcPr>
            <w:tcW w:w="614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33,027</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32,209</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818</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Financial Instruments</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We invest excess cash and cash equivalents in high credit quality investments held by financial institutions in accordance with our investment policy designed to protect the principal investment. At September 30, 2024, we had approximately $3,049 in our cash accounts and $37,271 in savings and money market accounts. While we have never experienced any loss or write down of our money market investments since our inception, the amounts we hold in money market accounts are substantially above the $250 amount insured by the FDIC and may lose value.</w:t>
      </w:r>
    </w:p>
    <w:p>
      <w:pPr>
        <w:spacing w:after="0" w:line="122"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spacing w:after="0" w:line="12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Since our inception, we have not had any material off-balance sheet arrangements.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Contractual Obligations and Commitments</w:t>
      </w:r>
    </w:p>
    <w:p>
      <w:pPr>
        <w:spacing w:after="0" w:line="154" w:lineRule="exact"/>
        <w:rPr>
          <w:sz w:val="20"/>
          <w:szCs w:val="20"/>
          <w:color w:val="auto"/>
        </w:rPr>
      </w:pPr>
    </w:p>
    <w:p>
      <w:pPr>
        <w:ind w:left="20" w:right="359"/>
        <w:spacing w:after="0" w:line="279" w:lineRule="auto"/>
        <w:rPr>
          <w:sz w:val="20"/>
          <w:szCs w:val="20"/>
          <w:color w:val="auto"/>
        </w:rPr>
      </w:pPr>
      <w:r>
        <w:rPr>
          <w:rFonts w:ascii="Times New Roman" w:cs="Times New Roman" w:eastAsia="Times New Roman" w:hAnsi="Times New Roman"/>
          <w:sz w:val="12"/>
          <w:szCs w:val="12"/>
          <w:color w:val="auto"/>
        </w:rPr>
        <w:t>None, other than the OHSU Agreement, lease agreements, and severance amounts described in notes to our condensed consolidated financial statements contained elsewhere in this Quarterly Report.</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A summary of our critical accounting policies and use of estimates are presented in Part II, Item 7, “Management’s Discussion and Analysis of Financial Condition and Results of Operation” of our Annual Report. There have been no material changes to our critical accounting policies and use of estimates during the nine months ended September 30, 2024.</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154"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Under Accounting Standards Codification (“ASC”) 606, Revenue from Contracts with Customers, we recognizes revenue when our customers obtain control of promised goods or services, in an amount that reflects the consideration which we determine we expect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our performance obligation(s). As part of the accounting for these arrangements, we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154"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The calculation of the fair values of our stock-based compensation plans requires estimates that require management’s judgments. Under ASC 718, the fair value of each stock option is estimated on the grant date using the Black-Scholes option-pricing model. The valuation models require assumptions and estimates to determine expected volatility, expected life, expected dividends and expected risk-free interest rates. The expected volatility was determined using historical volatility of our stock based on the contractual life of the award. The risk-free interest rate assumption was based on the yield on zero-coupon U.S. Treasury strips at the award grant date. We also used historical data to estimate forfeiture experience. In valuing options granted in the fiscal years ended September 30, 2024, we used the following weighted average assumptions: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Valuation</w:t>
            </w:r>
          </w:p>
        </w:tc>
        <w:tc>
          <w:tcPr>
            <w:tcW w:w="0" w:type="dxa"/>
            <w:vAlign w:val="bottom"/>
          </w:tcPr>
          <w:p>
            <w:pPr>
              <w:spacing w:after="0"/>
              <w:rPr>
                <w:sz w:val="1"/>
                <w:szCs w:val="1"/>
                <w:color w:val="auto"/>
              </w:rPr>
            </w:pPr>
          </w:p>
        </w:tc>
      </w:tr>
      <w:tr>
        <w:trPr>
          <w:trHeight w:val="99"/>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Black-Scholes Model Assumptions</w:t>
            </w:r>
          </w:p>
        </w:tc>
        <w:tc>
          <w:tcPr>
            <w:tcW w:w="14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Assumptions</w:t>
            </w:r>
          </w:p>
        </w:tc>
        <w:tc>
          <w:tcPr>
            <w:tcW w:w="0" w:type="dxa"/>
            <w:vAlign w:val="bottom"/>
          </w:tcPr>
          <w:p>
            <w:pPr>
              <w:spacing w:after="0"/>
              <w:rPr>
                <w:sz w:val="1"/>
                <w:szCs w:val="1"/>
                <w:color w:val="auto"/>
              </w:rPr>
            </w:pPr>
          </w:p>
        </w:tc>
      </w:tr>
      <w:tr>
        <w:trPr>
          <w:trHeight w:val="115"/>
        </w:trPr>
        <w:tc>
          <w:tcPr>
            <w:tcW w:w="7480" w:type="dxa"/>
            <w:vAlign w:val="bottom"/>
            <w:gridSpan w:val="2"/>
            <w:vMerge w:val="continue"/>
          </w:tcPr>
          <w:p>
            <w:pPr>
              <w:spacing w:after="0"/>
              <w:rPr>
                <w:sz w:val="10"/>
                <w:szCs w:val="1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September 30, 2024</w:t>
            </w:r>
          </w:p>
        </w:tc>
        <w:tc>
          <w:tcPr>
            <w:tcW w:w="0" w:type="dxa"/>
            <w:vAlign w:val="bottom"/>
          </w:tcPr>
          <w:p>
            <w:pPr>
              <w:spacing w:after="0"/>
              <w:rPr>
                <w:sz w:val="1"/>
                <w:szCs w:val="1"/>
                <w:color w:val="auto"/>
              </w:rPr>
            </w:pPr>
          </w:p>
        </w:tc>
      </w:tr>
      <w:tr>
        <w:trPr>
          <w:trHeight w:val="133"/>
        </w:trPr>
        <w:tc>
          <w:tcPr>
            <w:tcW w:w="7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Expected dividend</w:t>
            </w:r>
          </w:p>
        </w:tc>
        <w:tc>
          <w:tcPr>
            <w:tcW w:w="26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gridSpan w:val="2"/>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0.00%</w:t>
            </w:r>
          </w:p>
        </w:tc>
        <w:tc>
          <w:tcPr>
            <w:tcW w:w="0" w:type="dxa"/>
            <w:vAlign w:val="bottom"/>
          </w:tcPr>
          <w:p>
            <w:pPr>
              <w:spacing w:after="0"/>
              <w:rPr>
                <w:sz w:val="1"/>
                <w:szCs w:val="1"/>
                <w:color w:val="auto"/>
              </w:rPr>
            </w:pPr>
          </w:p>
        </w:tc>
      </w:tr>
      <w:tr>
        <w:trPr>
          <w:trHeight w:val="144"/>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Risk free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- 5.15%</w:t>
            </w:r>
          </w:p>
        </w:tc>
        <w:tc>
          <w:tcPr>
            <w:tcW w:w="0" w:type="dxa"/>
            <w:vAlign w:val="bottom"/>
          </w:tcPr>
          <w:p>
            <w:pPr>
              <w:spacing w:after="0"/>
              <w:rPr>
                <w:sz w:val="1"/>
                <w:szCs w:val="1"/>
                <w:color w:val="auto"/>
              </w:rPr>
            </w:pPr>
          </w:p>
        </w:tc>
      </w:tr>
      <w:tr>
        <w:trPr>
          <w:trHeight w:val="144"/>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- 67%</w:t>
            </w:r>
          </w:p>
        </w:tc>
        <w:tc>
          <w:tcPr>
            <w:tcW w:w="0" w:type="dxa"/>
            <w:vAlign w:val="bottom"/>
          </w:tcPr>
          <w:p>
            <w:pPr>
              <w:spacing w:after="0"/>
              <w:rPr>
                <w:sz w:val="1"/>
                <w:szCs w:val="1"/>
                <w:color w:val="auto"/>
              </w:rPr>
            </w:pPr>
          </w:p>
        </w:tc>
      </w:tr>
      <w:tr>
        <w:trPr>
          <w:trHeight w:val="155"/>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Expected life</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- 6.0 years</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Common shares and warrants</w:t>
      </w:r>
    </w:p>
    <w:p>
      <w:pPr>
        <w:spacing w:after="0" w:line="15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Common shares are recorded as the net proceeds received on issuance after deducting all share issuance costs and the relative fair value of investor warrants. Warrants are recorded at relative fair value and are deducted from the proceeds of common shares and recorded on the consolidated statements of shareholders’ equity (deficit) as additional paid-in capital.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Item 4. Controls and Procedures.</w:t>
      </w:r>
    </w:p>
    <w:p>
      <w:pPr>
        <w:spacing w:after="0" w:line="150" w:lineRule="exact"/>
        <w:rPr>
          <w:sz w:val="20"/>
          <w:szCs w:val="20"/>
          <w:color w:val="auto"/>
        </w:rPr>
      </w:pPr>
    </w:p>
    <w:p>
      <w:pPr>
        <w:ind w:left="660" w:hanging="638"/>
        <w:spacing w:after="0"/>
        <w:tabs>
          <w:tab w:leader="none" w:pos="6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Evaluation of Disclosure Controls and Procedures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20" w:right="39"/>
        <w:spacing w:after="0" w:line="253"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has conducted an evaluation of the effectiveness of our disclosure controls and procedures (as defined in Rule 13a-15(e) and 15d-15(e) under the Securities Exchange Act of 1934, as amended (the "Exchange Act") as of September 30, 2024. Our disclosure controls and procedures are designed to ensure that information required to be disclosed in the reports our files under the Exchange Act is recorded, processed, summarized and reported within the time periods specified in the SEC’s rules and forms and that such information is accumulated and communicated to our management, including the our Chief Executive Officer and Chief Financial Officer, to allow for timely decisions regarding required disclosures. In designing and evaluating our disclosure controls and procedures, our management recognizes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In addition, the design of disclosure controls and procedures must reflect the fact that there are resource constraints that require our management to apply its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29"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Based on this evaluation, our Chief Executive Officer and Chief Financial Officer have concluded that, as of September 30, 2024, our disclosure controls and procedures were not effective because of a material weakness in our internal control over financial reporting related to fees and allowances paid to distributors for distinct services.</w:t>
      </w:r>
    </w:p>
    <w:p>
      <w:pPr>
        <w:spacing w:after="0" w:line="111"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Rules 13a-15(f) and 15d-15(f) under the Exchange Act. Our management evaluated the effectiveness of its internal control over financial reporting based on the framework in Internal Control-Integrated Framework issued by the Committee of Sponsoring Organizations of the Treadway Commission (2013 framework). Based on that evaluation, our management has concluded that, as of September 30, 2024, our internal controls over financial reporting were not effective because of the existence of a material weakness in internal control over financial reporting related to fees and allowances paid to distributors for distinct services.</w:t>
      </w:r>
    </w:p>
    <w:p>
      <w:pPr>
        <w:spacing w:after="0" w:line="125"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A material weakness is defined as a deficiency or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11"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With respect to the fees and allowances paid to distributors for distinct services, the execution of the controls over the application of accounting literature did not operate effectively with respect to:</w:t>
      </w:r>
    </w:p>
    <w:p>
      <w:pPr>
        <w:spacing w:after="0" w:line="111" w:lineRule="exact"/>
        <w:rPr>
          <w:sz w:val="20"/>
          <w:szCs w:val="20"/>
          <w:color w:val="auto"/>
        </w:rPr>
      </w:pPr>
    </w:p>
    <w:p>
      <w:pPr>
        <w:ind w:left="780" w:hanging="254"/>
        <w:spacing w:after="0"/>
        <w:tabs>
          <w:tab w:leader="none" w:pos="7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Measurement and classification of fees paid to customers for distinct services under ASC 606 Revenue from Contracts with Customers.</w:t>
      </w:r>
    </w:p>
    <w:p>
      <w:pPr>
        <w:spacing w:after="0" w:line="150" w:lineRule="exact"/>
        <w:rPr>
          <w:rFonts w:ascii="Times New Roman" w:cs="Times New Roman" w:eastAsia="Times New Roman" w:hAnsi="Times New Roman"/>
          <w:sz w:val="12"/>
          <w:szCs w:val="12"/>
          <w:color w:val="auto"/>
        </w:rPr>
      </w:pPr>
    </w:p>
    <w:p>
      <w:pPr>
        <w:ind w:left="780" w:right="39" w:hanging="254"/>
        <w:spacing w:after="0" w:line="279" w:lineRule="auto"/>
        <w:tabs>
          <w:tab w:leader="none" w:pos="7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Measurement of services received and expensed in a reporting period, measurement of services that pertain to future periods, and the periods of attribution for those future services.</w:t>
      </w:r>
    </w:p>
    <w:p>
      <w:pPr>
        <w:spacing w:after="0" w:line="111"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We are evaluating the material weaknesses and developing a plan of remediation to strengthen the effectiveness of the design and operation of its internal control environment. The remediation plan will include the following actions:</w:t>
      </w:r>
    </w:p>
    <w:p>
      <w:pPr>
        <w:spacing w:after="0" w:line="111" w:lineRule="exact"/>
        <w:rPr>
          <w:sz w:val="20"/>
          <w:szCs w:val="20"/>
          <w:color w:val="auto"/>
        </w:rPr>
      </w:pPr>
    </w:p>
    <w:p>
      <w:pPr>
        <w:ind w:left="780" w:hanging="254"/>
        <w:spacing w:after="0"/>
        <w:tabs>
          <w:tab w:leader="none" w:pos="7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Enhance the formality of its review procedures with respect to accounting for new contracts with customers.</w:t>
      </w:r>
    </w:p>
    <w:p>
      <w:pPr>
        <w:spacing w:after="0" w:line="200" w:lineRule="exact"/>
        <w:rPr>
          <w:rFonts w:ascii="Times New Roman" w:cs="Times New Roman" w:eastAsia="Times New Roman" w:hAnsi="Times New Roman"/>
          <w:sz w:val="12"/>
          <w:szCs w:val="12"/>
          <w:color w:val="auto"/>
        </w:rPr>
      </w:pPr>
    </w:p>
    <w:p>
      <w:pPr>
        <w:spacing w:after="0" w:line="238"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80" w:right="39" w:hanging="254"/>
        <w:spacing w:after="0" w:line="279" w:lineRule="auto"/>
        <w:tabs>
          <w:tab w:leader="none" w:pos="7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Strengthen the review process to improve the operation of accounting and review controls with respect to complex and non-recurring transactions, as well as those transactions that require significant estimates and judgments.</w:t>
      </w:r>
    </w:p>
    <w:p>
      <w:pPr>
        <w:spacing w:after="0" w:line="111" w:lineRule="exact"/>
        <w:rPr>
          <w:rFonts w:ascii="Times New Roman" w:cs="Times New Roman" w:eastAsia="Times New Roman" w:hAnsi="Times New Roman"/>
          <w:sz w:val="12"/>
          <w:szCs w:val="12"/>
          <w:color w:val="auto"/>
        </w:rPr>
      </w:pPr>
    </w:p>
    <w:p>
      <w:pPr>
        <w:ind w:left="780" w:hanging="254"/>
        <w:spacing w:after="0"/>
        <w:tabs>
          <w:tab w:leader="none" w:pos="7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Engaging additional service providers or hiring additional full-time employees may be necessary and advisable to address these weaknesses.</w:t>
      </w:r>
    </w:p>
    <w:p>
      <w:pPr>
        <w:spacing w:after="0" w:line="150"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The actions that we are taking are subject to ongoing senior management review as well as Audit Committee oversight. We are committed to maintaining a strong internal control environment and believes that these remediation efforts will represent significant improvements in our controls. We have started to implement these steps including hiring additional full-time employee to assist with technical accounting and financial reporting; however, some of these steps will take time to be fully integrated and confirmed to be effective and sustainable. Additional controls may also be required over time. Until the remediation steps set forth above are fully implemented and tested, the material weakness described above will continue to exist.</w:t>
      </w:r>
    </w:p>
    <w:p>
      <w:pPr>
        <w:spacing w:after="0" w:line="121" w:lineRule="exact"/>
        <w:rPr>
          <w:sz w:val="20"/>
          <w:szCs w:val="20"/>
          <w:color w:val="auto"/>
        </w:rPr>
      </w:pPr>
    </w:p>
    <w:p>
      <w:pPr>
        <w:ind w:left="640" w:hanging="618"/>
        <w:spacing w:after="0"/>
        <w:tabs>
          <w:tab w:leader="none" w:pos="640" w:val="left"/>
        </w:tabs>
        <w:numPr>
          <w:ilvl w:val="0"/>
          <w:numId w:val="17"/>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154"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We are in the process of implementing changes in our internal control over financial reporting (as defined in Rules 13a-15(f) and 15d-15(f) under the Exchange Act) but do not believe any of these changes, as of the period covered by this Quarterly Report on Form 10-Q have materially affected, or is reasonably likely to materially affect our internal control over financial reporting.</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PART II: OTHER INFORMATION</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2"/>
          <w:szCs w:val="12"/>
          <w:color w:val="auto"/>
        </w:rPr>
        <w:t>For information about our legal proceedings, please see our Commitments and Contingencies footnote (Note 6) to our unaudited interim condensed consolidated financial statements included elsewhere in this Quarterly Report</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Item 1A. Risk Factors.</w:t>
      </w:r>
    </w:p>
    <w:p>
      <w:pPr>
        <w:spacing w:after="0" w:line="150"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Our Annual Report includes a detailed discussion of our risk factors under the heading “PART I, Item 1A – Risk Factors.” You should carefully consider the risk factors discussed in our Annual Report, as well as other information in this Quarterly Report. Any of these risks could cause our business, financial condition, results of operations and future growth prospects to suffer. Please see below for additional risk factors:</w:t>
      </w:r>
    </w:p>
    <w:p>
      <w:pPr>
        <w:spacing w:after="0" w:line="115"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We have entered into, and may in the future enter into, strategic transactions for the research, development and commercialization of PEDMARK. If any of these transactions are not successful, then we may not be able to capitalize on the market potential of such product candidates. Further, we may not be able to enter into future transactions on acceptable terms, if at all, which could adversely affect our ability to develop and commercialize our potential future product candidates and former lead product candidate, impact our cash position, increase our expense, and present significant distractions to our management.</w:t>
      </w:r>
    </w:p>
    <w:p>
      <w:pPr>
        <w:spacing w:after="0" w:line="121"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We have entered into, and may enter into in the future, strategic transactions, such as out-licensing of product candidates or technologies. For example, in March 2024, we entered into a collaboration and license agreement with Norgine. Our ability to generate revenue from any of our strategic transactions will depend on our partners’ abilities to successfully perform the functions assigned to them in these transactions. We cannot predict the success of any of our strategic transactions.</w:t>
      </w:r>
    </w:p>
    <w:p>
      <w:pPr>
        <w:spacing w:after="0" w:line="119"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We also intend to evaluate and, if strategically attractive, seek to enter into additional collaborations in the future, including with biotechnology or biopharmaceutical companies or hospitals. The competition for partners is intense, and the negotiation process is time-consuming and complex. If we are not able to enter into strategic transactions, we may not have access to required liquidity or expertise to further develop our potential future product candidates or our discovery platform.</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Any existing or potential future collaboration or other strategic transaction may require us to incur non-recurring or other charges, increase our near- and long-term expenditures and pose significant integration or implementation challenges or disrupt our management or business. We may acquire additional technologies and assets, form strategic alliances or create joint ventures with third parties that we believe will complement or augment our existing business, but we may not be able to realize the benefit of such acquisitions or collaborations. In addition, any new collaboration that we enter into may be on terms that are not optimal for us.</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Our existing and future strategic transactions would entail numerous operational and financial risks, including:</w:t>
      </w:r>
    </w:p>
    <w:p>
      <w:pPr>
        <w:spacing w:after="0" w:line="150" w:lineRule="exact"/>
        <w:rPr>
          <w:sz w:val="20"/>
          <w:szCs w:val="20"/>
          <w:color w:val="auto"/>
        </w:rPr>
      </w:pP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exposure to unknown liabilities;</w:t>
      </w:r>
    </w:p>
    <w:p>
      <w:pPr>
        <w:spacing w:after="0" w:line="16" w:lineRule="exact"/>
        <w:rPr>
          <w:rFonts w:ascii="Times New Roman" w:cs="Times New Roman" w:eastAsia="Times New Roman" w:hAnsi="Times New Roman"/>
          <w:sz w:val="12"/>
          <w:szCs w:val="12"/>
          <w:color w:val="auto"/>
        </w:rPr>
      </w:pPr>
    </w:p>
    <w:p>
      <w:pPr>
        <w:ind w:left="480" w:right="39" w:hanging="224"/>
        <w:spacing w:after="0" w:line="250"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 of our business and diversion of our management’s time and attention in order to manage a collaboration or develop acquired products, potential future product candidates or technologies;</w:t>
      </w: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incurrence of substantial debt or dilutive issuances of equity securities to pay transaction consideration or costs;</w:t>
      </w:r>
    </w:p>
    <w:p>
      <w:pPr>
        <w:spacing w:after="0" w:line="6"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higher-than-expected collaboration, acquisition or integration costs, write-downs of assets or goodwill or impairment charges, increased amortization expenses;</w:t>
      </w:r>
    </w:p>
    <w:p>
      <w:pPr>
        <w:spacing w:after="0" w:line="6" w:lineRule="exact"/>
        <w:rPr>
          <w:rFonts w:ascii="Times New Roman" w:cs="Times New Roman" w:eastAsia="Times New Roman" w:hAnsi="Times New Roman"/>
          <w:sz w:val="12"/>
          <w:szCs w:val="12"/>
          <w:color w:val="auto"/>
        </w:rPr>
      </w:pPr>
    </w:p>
    <w:p>
      <w:pPr>
        <w:jc w:val="both"/>
        <w:ind w:left="480" w:right="39" w:hanging="224"/>
        <w:spacing w:after="0" w:line="250"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have significant discretion in determining the efforts and resources they apply to these collaborations, and may not pursue development of any product candidates we may develop or may elect not to continue development programs based on preclinical study results, changes in the collaborator’s strategic focus or other factors that may be beyond our control;</w:t>
      </w:r>
    </w:p>
    <w:p>
      <w:pPr>
        <w:jc w:val="both"/>
        <w:ind w:left="480" w:right="39" w:hanging="224"/>
        <w:spacing w:after="0" w:line="250"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could independently develop, or develop with third parties, products that may compete directly or indirectly with our potential future product candidates if the collaborators believe that the competitive products are more likely to be successfully developed or can be commercialized under terms that are more economically attractive than ours;</w:t>
      </w:r>
    </w:p>
    <w:p>
      <w:pPr>
        <w:ind w:left="480" w:right="39" w:hanging="224"/>
        <w:spacing w:after="0" w:line="250"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future product candidates discovered in collaboration with us may be viewed by our collaborators as competitive with their own product candidates or products, which may cause collaborators to cease to devote resources to the development or commercialization of our potential future product candidates;</w:t>
      </w: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and cost in facilitating the collaboration or combining the operations and personnel of any acquired business;</w:t>
      </w:r>
    </w:p>
    <w:p>
      <w:pPr>
        <w:spacing w:after="0" w:line="6" w:lineRule="exact"/>
        <w:rPr>
          <w:rFonts w:ascii="Times New Roman" w:cs="Times New Roman" w:eastAsia="Times New Roman" w:hAnsi="Times New Roman"/>
          <w:sz w:val="12"/>
          <w:szCs w:val="12"/>
          <w:color w:val="auto"/>
        </w:rPr>
      </w:pPr>
    </w:p>
    <w:p>
      <w:pPr>
        <w:jc w:val="both"/>
        <w:ind w:left="480" w:right="39" w:hanging="224"/>
        <w:spacing w:after="0" w:line="250"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disputes may arise between a collaborator and us, including with respect to the ownership of any intellectual property developed pursuant to our collaborations, that cause the delay or termination of the research, development or commercialization of a potential future product candidate, or that result in costly litigation or arbitration that diverts management’s attention and resources;</w:t>
      </w: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of relationships with key suppliers, manufacturers or customers of any acquired business due to changes in management and ownership; and</w:t>
      </w:r>
    </w:p>
    <w:p>
      <w:pPr>
        <w:spacing w:after="0" w:line="6"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retain key employees of any acquired business.</w:t>
      </w:r>
    </w:p>
    <w:p>
      <w:pPr>
        <w:spacing w:after="0" w:line="139"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Accordingly, although there can be no assurance that we will undertake or successfully complete any strategic transactions of the nature described above, any collaborations that we are currently engaged in or transactions we may complete in the future may be subject to the foregoing or other risks and our business could be materially harmed by such transactions. Conversely, any failure to enter any collaboration or other strategic transaction that would be beneficial to us could delay the development and potential commercialization of our potential future product candidates and have a negative impact on the competitiveness of any potential future product candidate that reaches market.</w:t>
      </w:r>
    </w:p>
    <w:p>
      <w:pPr>
        <w:spacing w:after="0" w:line="122"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In addition, to the extent that any of our existing or future partners were to terminate a collaboration agreement, we may be forced to independently develop our future product candidates, including funding preclinical studies or clinical trials, assuming marketing and distribution costs and maintaining, enforcing and defending intellectual property rights, or, in certain instances, abandon potential future product candidates altogether, any of which could result in a change to our business plan and materially harm our business, financial condition, results of operations and prospects.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p>
      <w:pPr>
        <w:ind w:left="20" w:right="179"/>
        <w:spacing w:after="0" w:line="260" w:lineRule="auto"/>
        <w:rPr>
          <w:sz w:val="20"/>
          <w:szCs w:val="20"/>
          <w:color w:val="auto"/>
        </w:rPr>
      </w:pPr>
      <w:r>
        <w:rPr>
          <w:rFonts w:ascii="Times New Roman" w:cs="Times New Roman" w:eastAsia="Times New Roman" w:hAnsi="Times New Roman"/>
          <w:sz w:val="12"/>
          <w:szCs w:val="12"/>
          <w:color w:val="auto"/>
        </w:rPr>
        <w:t>Rostislav Raykov, a current member of our Board of Directors, adopted a trading arrangement on September 23, 2024, which is intended to satisfy the Rule 10b5-1 affirmative defense. This trading arrangement covers the disposition of up to 120,000 shares of the Company’s common shares, and will terminate on December 31, 2025, unless earlier terminated in accordance with its terms. No additional directors or officers informed us of the adoption, modification or termination of a “Rule 10b5-1 trading arrangement” or “non-Rule 10b5-1 trading arrangement,” as those terms are defined in Regulation S-K, Item 408.</w:t>
      </w:r>
    </w:p>
    <w:p>
      <w:pPr>
        <w:spacing w:after="0" w:line="122"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On November 8, 2024, we issued a press release announcing our financial results for the quarter ended September 30, 2024. A copy of the news release is attached to this Quarterly Report as Exhibit 99.1. The press release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the press release.</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Item 6. Exhibits</w:t>
            </w:r>
          </w:p>
        </w:tc>
        <w:tc>
          <w:tcPr>
            <w:tcW w:w="36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89"/>
        </w:trPr>
        <w:tc>
          <w:tcPr>
            <w:tcW w:w="118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9"/>
        </w:trPr>
        <w:tc>
          <w:tcPr>
            <w:tcW w:w="1180" w:type="dxa"/>
            <w:vAlign w:val="bottom"/>
            <w:gridSpan w:val="3"/>
          </w:tcPr>
          <w:p>
            <w:pPr>
              <w:ind w:left="400"/>
              <w:spacing w:after="0"/>
              <w:rPr>
                <w:sz w:val="20"/>
                <w:szCs w:val="20"/>
                <w:color w:val="auto"/>
              </w:rPr>
            </w:pPr>
            <w:r>
              <w:rPr>
                <w:rFonts w:ascii="Times New Roman" w:cs="Times New Roman" w:eastAsia="Times New Roman" w:hAnsi="Times New Roman"/>
                <w:sz w:val="12"/>
                <w:szCs w:val="12"/>
                <w:b w:val="1"/>
                <w:bCs w:val="1"/>
                <w:color w:val="auto"/>
              </w:rPr>
              <w:t>No.</w:t>
            </w:r>
          </w:p>
        </w:tc>
        <w:tc>
          <w:tcPr>
            <w:tcW w:w="5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400" w:type="dxa"/>
            <w:vAlign w:val="bottom"/>
            <w:gridSpan w:val="4"/>
          </w:tcPr>
          <w:p>
            <w:pPr>
              <w:ind w:left="2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31.1</w:t>
            </w:r>
          </w:p>
        </w:tc>
        <w:tc>
          <w:tcPr>
            <w:tcW w:w="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780" w:type="dxa"/>
            <w:vAlign w:val="bottom"/>
            <w:tcBorders>
              <w:top w:val="single" w:sz="8" w:color="auto"/>
              <w:bottom w:val="single" w:sz="8" w:color="0000EE"/>
            </w:tcBorders>
            <w:gridSpan w:val="4"/>
          </w:tcPr>
          <w:p>
            <w:pPr>
              <w:ind w:left="20"/>
              <w:spacing w:after="0"/>
              <w:rPr>
                <w:sz w:val="20"/>
                <w:szCs w:val="20"/>
                <w:color w:val="auto"/>
              </w:rPr>
            </w:pPr>
            <w:r>
              <w:rPr>
                <w:rFonts w:ascii="Times New Roman" w:cs="Times New Roman" w:eastAsia="Times New Roman" w:hAnsi="Times New Roman"/>
                <w:sz w:val="12"/>
                <w:szCs w:val="12"/>
                <w:color w:val="0000EE"/>
                <w:w w:val="99"/>
              </w:rPr>
              <w:t>Certification of Chief Executive Officer of the Company in accordance with Section 302 of the Sarbanes-Oxley Act of 2002 (filed herewith).</w:t>
            </w:r>
          </w:p>
        </w:tc>
        <w:tc>
          <w:tcPr>
            <w:tcW w:w="1000" w:type="dxa"/>
            <w:vAlign w:val="bottom"/>
            <w:tcBorders>
              <w:top w:val="single" w:sz="8" w:color="auto"/>
            </w:tcBorders>
            <w:gridSpan w:val="2"/>
          </w:tcPr>
          <w:p>
            <w:pPr>
              <w:spacing w:after="0"/>
              <w:rPr>
                <w:sz w:val="21"/>
                <w:szCs w:val="21"/>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0000EE"/>
              </w:rPr>
              <w:t>Certification of Chief Financial Officer of the Company in accordance with Section 302 of the Sarbanes-Oxley Act of 2002 (filed herewith).</w:t>
            </w: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2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2"/>
                <w:szCs w:val="12"/>
                <w:color w:val="0000EE"/>
                <w:w w:val="99"/>
              </w:rPr>
              <w:t>Certification of Chief Executive Officer and Chief Financial Officer of the Company in accordance with Section 906 of the Sarbanes-Oxley Act of 2002 (filed</w:t>
            </w:r>
          </w:p>
        </w:tc>
        <w:tc>
          <w:tcPr>
            <w:tcW w:w="160" w:type="dxa"/>
            <w:vAlign w:val="bottom"/>
          </w:tcPr>
          <w:p>
            <w:pPr>
              <w:spacing w:after="0"/>
              <w:rPr>
                <w:sz w:val="23"/>
                <w:szCs w:val="23"/>
                <w:color w:val="auto"/>
              </w:rPr>
            </w:pPr>
          </w:p>
        </w:tc>
      </w:tr>
      <w:tr>
        <w:trPr>
          <w:trHeight w:val="124"/>
        </w:trPr>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0000EE"/>
            </w:tcBorders>
          </w:tcPr>
          <w:p>
            <w:pPr>
              <w:ind w:left="20"/>
              <w:spacing w:after="0" w:line="124" w:lineRule="exact"/>
              <w:rPr>
                <w:sz w:val="20"/>
                <w:szCs w:val="20"/>
                <w:color w:val="auto"/>
              </w:rPr>
            </w:pPr>
            <w:r>
              <w:rPr>
                <w:rFonts w:ascii="Times New Roman" w:cs="Times New Roman" w:eastAsia="Times New Roman" w:hAnsi="Times New Roman"/>
                <w:sz w:val="12"/>
                <w:szCs w:val="12"/>
                <w:color w:val="0000EE"/>
                <w:w w:val="93"/>
              </w:rPr>
              <w:t>herewith).</w:t>
            </w:r>
          </w:p>
        </w:tc>
        <w:tc>
          <w:tcPr>
            <w:tcW w:w="7280" w:type="dxa"/>
            <w:vAlign w:val="bottom"/>
            <w:gridSpan w:val="5"/>
          </w:tcPr>
          <w:p>
            <w:pPr>
              <w:spacing w:after="0"/>
              <w:rPr>
                <w:sz w:val="10"/>
                <w:szCs w:val="10"/>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38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2"/>
                <w:szCs w:val="12"/>
                <w:color w:val="0000EE"/>
                <w:w w:val="99"/>
              </w:rPr>
              <w:t>Press Release for Quarter Ended September 30, 2024 (filed herewith).</w:t>
            </w:r>
          </w:p>
        </w:tc>
        <w:tc>
          <w:tcPr>
            <w:tcW w:w="4400" w:type="dxa"/>
            <w:vAlign w:val="bottom"/>
            <w:gridSpan w:val="4"/>
          </w:tcPr>
          <w:p>
            <w:pPr>
              <w:spacing w:after="0"/>
              <w:rPr>
                <w:sz w:val="23"/>
                <w:szCs w:val="23"/>
                <w:color w:val="auto"/>
              </w:rPr>
            </w:pPr>
          </w:p>
        </w:tc>
      </w:tr>
      <w:tr>
        <w:trPr>
          <w:trHeight w:val="295"/>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101.INS*</w:t>
            </w: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Inline XBRL Instance Document</w:t>
            </w:r>
          </w:p>
        </w:tc>
      </w:tr>
      <w:tr>
        <w:trPr>
          <w:trHeight w:val="288"/>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101.SCH*</w:t>
            </w: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288"/>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101.CAL*</w:t>
            </w: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288"/>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101.DEF*</w:t>
            </w: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288"/>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101.LAB*</w:t>
            </w: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288"/>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101.PRE*</w:t>
            </w: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bl>
    <w:p>
      <w:pPr>
        <w:spacing w:after="0" w:line="133" w:lineRule="exact"/>
        <w:rPr>
          <w:sz w:val="20"/>
          <w:szCs w:val="20"/>
          <w:color w:val="auto"/>
        </w:rPr>
      </w:pPr>
    </w:p>
    <w:p>
      <w:pPr>
        <w:ind w:left="1220" w:right="3139" w:hanging="1198"/>
        <w:spacing w:after="0" w:line="279" w:lineRule="auto"/>
        <w:tabs>
          <w:tab w:leader="none" w:pos="12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Pursuant to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6260" w:type="dxa"/>
            <w:vAlign w:val="bottom"/>
            <w:gridSpan w:val="3"/>
          </w:tcPr>
          <w:p>
            <w:pPr>
              <w:ind w:left="1540"/>
              <w:spacing w:after="0"/>
              <w:rPr>
                <w:sz w:val="20"/>
                <w:szCs w:val="20"/>
                <w:color w:val="auto"/>
              </w:rPr>
            </w:pPr>
            <w:r>
              <w:rPr>
                <w:rFonts w:ascii="Times New Roman" w:cs="Times New Roman" w:eastAsia="Times New Roman" w:hAnsi="Times New Roman"/>
                <w:sz w:val="12"/>
                <w:szCs w:val="12"/>
                <w:color w:val="auto"/>
              </w:rPr>
              <w:t>Fennec Pharmaceuticals Inc.</w:t>
            </w:r>
          </w:p>
        </w:tc>
      </w:tr>
      <w:tr>
        <w:trPr>
          <w:trHeight w:val="28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8, 2024</w:t>
            </w:r>
          </w:p>
        </w:tc>
        <w:tc>
          <w:tcPr>
            <w:tcW w:w="1720" w:type="dxa"/>
            <w:vAlign w:val="bottom"/>
          </w:tcPr>
          <w:p>
            <w:pPr>
              <w:ind w:left="1540"/>
              <w:spacing w:after="0"/>
              <w:rPr>
                <w:sz w:val="20"/>
                <w:szCs w:val="20"/>
                <w:color w:val="auto"/>
              </w:rPr>
            </w:pPr>
            <w:r>
              <w:rPr>
                <w:rFonts w:ascii="Times New Roman" w:cs="Times New Roman" w:eastAsia="Times New Roman" w:hAnsi="Times New Roman"/>
                <w:sz w:val="12"/>
                <w:szCs w:val="12"/>
                <w:color w:val="auto"/>
                <w:w w:val="91"/>
              </w:rPr>
              <w:t>By:</w:t>
            </w:r>
          </w:p>
        </w:tc>
        <w:tc>
          <w:tcPr>
            <w:tcW w:w="22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Jeff Hackman</w:t>
            </w:r>
          </w:p>
        </w:tc>
      </w:tr>
      <w:tr>
        <w:trPr>
          <w:trHeight w:val="122"/>
        </w:trPr>
        <w:tc>
          <w:tcPr>
            <w:tcW w:w="27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 Hackman</w:t>
            </w:r>
          </w:p>
        </w:tc>
      </w:tr>
      <w:tr>
        <w:trPr>
          <w:trHeight w:val="144"/>
        </w:trPr>
        <w:tc>
          <w:tcPr>
            <w:tcW w:w="2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27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28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8, 2024</w:t>
            </w:r>
          </w:p>
        </w:tc>
        <w:tc>
          <w:tcPr>
            <w:tcW w:w="1720" w:type="dxa"/>
            <w:vAlign w:val="bottom"/>
          </w:tcPr>
          <w:p>
            <w:pPr>
              <w:ind w:left="1540"/>
              <w:spacing w:after="0"/>
              <w:rPr>
                <w:sz w:val="20"/>
                <w:szCs w:val="20"/>
                <w:color w:val="auto"/>
              </w:rPr>
            </w:pPr>
            <w:r>
              <w:rPr>
                <w:rFonts w:ascii="Times New Roman" w:cs="Times New Roman" w:eastAsia="Times New Roman" w:hAnsi="Times New Roman"/>
                <w:sz w:val="12"/>
                <w:szCs w:val="12"/>
                <w:color w:val="auto"/>
                <w:w w:val="91"/>
              </w:rPr>
              <w:t>By:</w:t>
            </w:r>
          </w:p>
        </w:tc>
        <w:tc>
          <w:tcPr>
            <w:tcW w:w="22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Robert Andrade</w:t>
            </w:r>
          </w:p>
        </w:tc>
      </w:tr>
      <w:tr>
        <w:trPr>
          <w:trHeight w:val="122"/>
        </w:trPr>
        <w:tc>
          <w:tcPr>
            <w:tcW w:w="27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Robert Andrade</w:t>
            </w:r>
          </w:p>
        </w:tc>
      </w:tr>
      <w:tr>
        <w:trPr>
          <w:trHeight w:val="144"/>
        </w:trPr>
        <w:tc>
          <w:tcPr>
            <w:tcW w:w="2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27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and chief accounting officer)</w:t>
            </w:r>
          </w:p>
        </w:tc>
      </w:tr>
      <w:tr>
        <w:trPr>
          <w:trHeight w:val="873"/>
        </w:trPr>
        <w:tc>
          <w:tcPr>
            <w:tcW w:w="2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40</w:t>
            </w:r>
          </w:p>
        </w:tc>
        <w:tc>
          <w:tcPr>
            <w:tcW w:w="4320" w:type="dxa"/>
            <w:vAlign w:val="bottom"/>
          </w:tcPr>
          <w:p>
            <w:pPr>
              <w:spacing w:after="0"/>
              <w:rPr>
                <w:sz w:val="24"/>
                <w:szCs w:val="24"/>
                <w:color w:val="auto"/>
              </w:rPr>
            </w:pPr>
          </w:p>
        </w:tc>
      </w:tr>
      <w:tr>
        <w:trPr>
          <w:trHeight w:val="367"/>
        </w:trPr>
        <w:tc>
          <w:tcPr>
            <w:tcW w:w="2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Jeffrey Hackman, certify that:</w:t>
      </w:r>
    </w:p>
    <w:p>
      <w:pPr>
        <w:spacing w:after="0" w:line="168" w:lineRule="exact"/>
        <w:rPr>
          <w:sz w:val="20"/>
          <w:szCs w:val="20"/>
          <w:color w:val="auto"/>
        </w:rPr>
      </w:pPr>
    </w:p>
    <w:p>
      <w:pPr>
        <w:ind w:left="560" w:hanging="310"/>
        <w:spacing w:after="0"/>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period ended September 30, 2024 of Fennec Pharmaceuticals Inc.;</w:t>
      </w:r>
    </w:p>
    <w:p>
      <w:pPr>
        <w:spacing w:after="0" w:line="16" w:lineRule="exact"/>
        <w:rPr>
          <w:rFonts w:ascii="Times New Roman" w:cs="Times New Roman" w:eastAsia="Times New Roman" w:hAnsi="Times New Roman"/>
          <w:sz w:val="12"/>
          <w:szCs w:val="12"/>
          <w:color w:val="auto"/>
        </w:rPr>
      </w:pPr>
    </w:p>
    <w:p>
      <w:pPr>
        <w:ind w:left="560" w:right="200" w:hanging="310"/>
        <w:spacing w:after="0" w:line="250" w:lineRule="auto"/>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60" w:right="380" w:hanging="310"/>
        <w:spacing w:after="0" w:line="250" w:lineRule="auto"/>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ind w:left="560" w:right="200" w:hanging="310"/>
        <w:spacing w:after="0" w:line="250" w:lineRule="auto"/>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260" w:right="340" w:hanging="407"/>
        <w:spacing w:after="0" w:line="250" w:lineRule="auto"/>
        <w:tabs>
          <w:tab w:leader="none" w:pos="12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p>
      <w:pPr>
        <w:jc w:val="both"/>
        <w:ind w:left="1260" w:right="500" w:hanging="407"/>
        <w:spacing w:after="0" w:line="250" w:lineRule="auto"/>
        <w:tabs>
          <w:tab w:leader="none" w:pos="12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right="160" w:hanging="407"/>
        <w:spacing w:after="0" w:line="250" w:lineRule="auto"/>
        <w:tabs>
          <w:tab w:leader="none" w:pos="12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60" w:right="160" w:hanging="407"/>
        <w:spacing w:after="0" w:line="273" w:lineRule="auto"/>
        <w:tabs>
          <w:tab w:leader="none" w:pos="1260" w:val="left"/>
        </w:tabs>
        <w:numPr>
          <w:ilvl w:val="1"/>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60" w:right="80" w:hanging="310"/>
        <w:spacing w:after="0" w:line="250" w:lineRule="auto"/>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60" w:right="460" w:hanging="407"/>
        <w:spacing w:after="0" w:line="250" w:lineRule="auto"/>
        <w:tabs>
          <w:tab w:leader="none" w:pos="12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407"/>
        <w:spacing w:after="0"/>
        <w:tabs>
          <w:tab w:leader="none" w:pos="12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8, 2024</w:t>
      </w:r>
    </w:p>
    <w:p>
      <w:pPr>
        <w:spacing w:after="0" w:line="294" w:lineRule="exact"/>
        <w:rPr>
          <w:sz w:val="20"/>
          <w:szCs w:val="20"/>
          <w:color w:val="auto"/>
        </w:rPr>
      </w:pPr>
    </w:p>
    <w:p>
      <w:pPr>
        <w:ind w:left="5000"/>
        <w:spacing w:after="0"/>
        <w:tabs>
          <w:tab w:leader="none" w:pos="53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Jeffrey Hackman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10795</wp:posOffset>
            </wp:positionV>
            <wp:extent cx="293179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2"/>
          <w:szCs w:val="12"/>
          <w:color w:val="auto"/>
        </w:rPr>
        <w:t>Jeffrey Hackman</w:t>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FENNEC PHARMACEUTICALS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Robert Andrade, certify that:</w:t>
      </w:r>
    </w:p>
    <w:p>
      <w:pPr>
        <w:spacing w:after="0" w:line="168" w:lineRule="exact"/>
        <w:rPr>
          <w:sz w:val="20"/>
          <w:szCs w:val="20"/>
          <w:color w:val="auto"/>
        </w:rPr>
      </w:pPr>
    </w:p>
    <w:p>
      <w:pPr>
        <w:ind w:left="580" w:hanging="322"/>
        <w:spacing w:after="0"/>
        <w:tabs>
          <w:tab w:leader="none" w:pos="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period ended September 30, 2024, of Fennec Pharmaceuticals Inc.;</w:t>
      </w:r>
    </w:p>
    <w:p>
      <w:pPr>
        <w:spacing w:after="0" w:line="16" w:lineRule="exact"/>
        <w:rPr>
          <w:rFonts w:ascii="Times New Roman" w:cs="Times New Roman" w:eastAsia="Times New Roman" w:hAnsi="Times New Roman"/>
          <w:sz w:val="12"/>
          <w:szCs w:val="12"/>
          <w:color w:val="auto"/>
        </w:rPr>
      </w:pPr>
    </w:p>
    <w:p>
      <w:pPr>
        <w:ind w:left="580" w:right="180" w:hanging="322"/>
        <w:spacing w:after="0" w:line="266" w:lineRule="auto"/>
        <w:tabs>
          <w:tab w:leader="none" w:pos="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80" w:right="360" w:hanging="322"/>
        <w:spacing w:after="0" w:line="266" w:lineRule="auto"/>
        <w:tabs>
          <w:tab w:leader="none" w:pos="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ind w:left="580" w:right="180" w:hanging="322"/>
        <w:spacing w:after="0" w:line="266" w:lineRule="auto"/>
        <w:tabs>
          <w:tab w:leader="none" w:pos="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300" w:hanging="430"/>
        <w:spacing w:after="0" w:line="266" w:lineRule="auto"/>
        <w:tabs>
          <w:tab w:leader="none" w:pos="130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p>
      <w:pPr>
        <w:jc w:val="both"/>
        <w:ind w:left="1300" w:right="460" w:hanging="430"/>
        <w:spacing w:after="0" w:line="266" w:lineRule="auto"/>
        <w:tabs>
          <w:tab w:leader="none" w:pos="130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120" w:hanging="430"/>
        <w:spacing w:after="0" w:line="266" w:lineRule="auto"/>
        <w:tabs>
          <w:tab w:leader="none" w:pos="130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20" w:hanging="430"/>
        <w:spacing w:after="0" w:line="290" w:lineRule="auto"/>
        <w:tabs>
          <w:tab w:leader="none" w:pos="1300" w:val="left"/>
        </w:tabs>
        <w:numPr>
          <w:ilvl w:val="1"/>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80" w:right="60" w:hanging="322"/>
        <w:spacing w:after="0" w:line="266" w:lineRule="auto"/>
        <w:tabs>
          <w:tab w:leader="none" w:pos="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20" w:hanging="430"/>
        <w:spacing w:after="0" w:line="266" w:lineRule="auto"/>
        <w:tabs>
          <w:tab w:leader="none" w:pos="130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430"/>
        <w:spacing w:after="0"/>
        <w:tabs>
          <w:tab w:leader="none" w:pos="130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8, 2024</w:t>
      </w:r>
    </w:p>
    <w:p>
      <w:pPr>
        <w:spacing w:after="0" w:line="159" w:lineRule="exact"/>
        <w:rPr>
          <w:sz w:val="20"/>
          <w:szCs w:val="20"/>
          <w:color w:val="auto"/>
        </w:rPr>
      </w:pPr>
    </w:p>
    <w:p>
      <w:pPr>
        <w:ind w:left="4700"/>
        <w:spacing w:after="0"/>
        <w:tabs>
          <w:tab w:leader="none" w:pos="50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10795</wp:posOffset>
            </wp:positionV>
            <wp:extent cx="311467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4675" cy="5715"/>
                    </a:xfrm>
                    <a:prstGeom prst="rect">
                      <a:avLst/>
                    </a:prstGeom>
                    <a:noFill/>
                  </pic:spPr>
                </pic:pic>
              </a:graphicData>
            </a:graphic>
          </wp:anchor>
        </w:drawing>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Robert Andrade</w:t>
      </w:r>
    </w:p>
    <w:p>
      <w:pPr>
        <w:spacing w:after="0" w:line="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495300</wp:posOffset>
            </wp:positionV>
            <wp:extent cx="63322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of Fennec Pharmaceuticals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on Form 10-Q for the period ended September 30, 2024 (the “</w:t>
      </w:r>
      <w:r>
        <w:rPr>
          <w:rFonts w:ascii="Times New Roman" w:cs="Times New Roman" w:eastAsia="Times New Roman" w:hAnsi="Times New Roman"/>
          <w:sz w:val="12"/>
          <w:szCs w:val="12"/>
          <w:u w:val="single" w:color="auto"/>
          <w:color w:val="auto"/>
        </w:rPr>
        <w:t>Report</w:t>
      </w:r>
      <w:r>
        <w:rPr>
          <w:rFonts w:ascii="Times New Roman" w:cs="Times New Roman" w:eastAsia="Times New Roman" w:hAnsi="Times New Roman"/>
          <w:sz w:val="12"/>
          <w:szCs w:val="12"/>
          <w:color w:val="auto"/>
        </w:rPr>
        <w:t>”), each of the undersigned, Jeffrey Hackman, Chief Executive Officer of the Company, and Robert Andrade, Chief Financial Officer of the Company, hereby certifies pursuant to 18 U.S.C. §1350, as adopted pursuant to Section 906 of the Sarbanes-Oxley Act of 2002, that:</w:t>
      </w:r>
    </w:p>
    <w:p>
      <w:pPr>
        <w:spacing w:after="0" w:line="272" w:lineRule="exact"/>
        <w:rPr>
          <w:sz w:val="20"/>
          <w:szCs w:val="20"/>
          <w:color w:val="auto"/>
        </w:rPr>
      </w:pPr>
    </w:p>
    <w:p>
      <w:pPr>
        <w:ind w:left="1140" w:hanging="486"/>
        <w:spacing w:after="0"/>
        <w:tabs>
          <w:tab w:leader="none" w:pos="11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6" w:lineRule="exact"/>
        <w:rPr>
          <w:rFonts w:ascii="Times New Roman" w:cs="Times New Roman" w:eastAsia="Times New Roman" w:hAnsi="Times New Roman"/>
          <w:sz w:val="12"/>
          <w:szCs w:val="12"/>
          <w:color w:val="auto"/>
        </w:rPr>
      </w:pPr>
    </w:p>
    <w:p>
      <w:pPr>
        <w:ind w:left="1140" w:hanging="486"/>
        <w:spacing w:after="0"/>
        <w:tabs>
          <w:tab w:leader="none" w:pos="11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8, 2024</w:t>
      </w:r>
    </w:p>
    <w:p>
      <w:pPr>
        <w:spacing w:after="0" w:line="294" w:lineRule="exact"/>
        <w:rPr>
          <w:sz w:val="20"/>
          <w:szCs w:val="20"/>
          <w:color w:val="auto"/>
        </w:rPr>
      </w:pPr>
    </w:p>
    <w:p>
      <w:pPr>
        <w:ind w:left="4720"/>
        <w:spacing w:after="0"/>
        <w:tabs>
          <w:tab w:leader="none" w:pos="5040" w:val="left"/>
        </w:tabs>
        <w:rPr>
          <w:sz w:val="20"/>
          <w:szCs w:val="20"/>
          <w:color w:val="auto"/>
        </w:rPr>
      </w:pPr>
      <w:r>
        <w:rPr>
          <w:rFonts w:ascii="Times New Roman" w:cs="Times New Roman" w:eastAsia="Times New Roman" w:hAnsi="Times New Roman"/>
          <w:sz w:val="12"/>
          <w:szCs w:val="12"/>
          <w:color w:val="auto"/>
        </w:rPr>
        <w:t>By:</w:t>
        <w:tab/>
        <w:t>/s/ Jeffrey Hackman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10795</wp:posOffset>
            </wp:positionV>
            <wp:extent cx="311467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4675" cy="571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2"/>
          <w:szCs w:val="12"/>
          <w:color w:val="auto"/>
        </w:rPr>
        <w:t>Jeffrey Hackman</w:t>
      </w:r>
    </w:p>
    <w:p>
      <w:pPr>
        <w:spacing w:after="0" w:line="1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8, 2024</w:t>
      </w:r>
    </w:p>
    <w:p>
      <w:pPr>
        <w:spacing w:after="0" w:line="294" w:lineRule="exact"/>
        <w:rPr>
          <w:sz w:val="20"/>
          <w:szCs w:val="20"/>
          <w:color w:val="auto"/>
        </w:rPr>
      </w:pPr>
    </w:p>
    <w:p>
      <w:pPr>
        <w:ind w:left="4740"/>
        <w:spacing w:after="0"/>
        <w:tabs>
          <w:tab w:leader="none" w:pos="5060" w:val="left"/>
        </w:tabs>
        <w:rPr>
          <w:sz w:val="20"/>
          <w:szCs w:val="20"/>
          <w:color w:val="auto"/>
        </w:rPr>
      </w:pPr>
      <w:r>
        <w:rPr>
          <w:rFonts w:ascii="Times New Roman" w:cs="Times New Roman" w:eastAsia="Times New Roman" w:hAnsi="Times New Roman"/>
          <w:sz w:val="12"/>
          <w:szCs w:val="12"/>
          <w:color w:val="auto"/>
        </w:rPr>
        <w:t>By:</w:t>
        <w:tab/>
        <w:t>/s/ 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10795</wp:posOffset>
            </wp:positionV>
            <wp:extent cx="31089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08960" cy="571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2"/>
          <w:szCs w:val="12"/>
          <w:color w:val="auto"/>
        </w:rPr>
        <w:t>Robert Andrade</w:t>
      </w:r>
    </w:p>
    <w:p>
      <w:pPr>
        <w:spacing w:after="0" w:line="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43" w:name="page44"/>
    <w:bookmarkEnd w:id="43"/>
    <w:p>
      <w:pPr>
        <w:ind w:left="836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111760</wp:posOffset>
            </wp:positionV>
            <wp:extent cx="834390" cy="400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3439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20" w:right="39"/>
        <w:spacing w:after="0" w:line="275" w:lineRule="auto"/>
        <w:rPr>
          <w:sz w:val="20"/>
          <w:szCs w:val="20"/>
          <w:color w:val="auto"/>
        </w:rPr>
      </w:pPr>
      <w:r>
        <w:rPr>
          <w:rFonts w:ascii="Times New Roman" w:cs="Times New Roman" w:eastAsia="Times New Roman" w:hAnsi="Times New Roman"/>
          <w:sz w:val="17"/>
          <w:szCs w:val="17"/>
          <w:b w:val="1"/>
          <w:bCs w:val="1"/>
          <w:color w:val="auto"/>
        </w:rPr>
        <w:t>FENNEC PHARMACEUTICALS REPORTS THIRD QUARTER 2024 FINANCIAL RESULTS AND PROVIDES BUSINESS UPDATE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 Achieved Third Quarter 2024 Net Product Sales of $7.0 Million ~</w:t>
      </w:r>
    </w:p>
    <w:p>
      <w:pPr>
        <w:spacing w:after="0" w:line="163" w:lineRule="exact"/>
        <w:rPr>
          <w:sz w:val="20"/>
          <w:szCs w:val="20"/>
          <w:color w:val="auto"/>
        </w:rPr>
      </w:pPr>
    </w:p>
    <w:p>
      <w:pPr>
        <w:ind w:left="340" w:hanging="112"/>
        <w:spacing w:after="0"/>
        <w:tabs>
          <w:tab w:leader="none" w:pos="340" w:val="left"/>
        </w:tabs>
        <w:numPr>
          <w:ilvl w:val="1"/>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Increasing Momentum and Successful Reimbursement in the Adolescent and Young Adult (AYA) Segment Following Strategic Investments to Drive</w:t>
      </w:r>
    </w:p>
    <w:p>
      <w:pPr>
        <w:spacing w:after="0" w:line="19" w:lineRule="exact"/>
        <w:rPr>
          <w:rFonts w:ascii="Times New Roman" w:cs="Times New Roman" w:eastAsia="Times New Roman" w:hAnsi="Times New Roman"/>
          <w:sz w:val="14"/>
          <w:szCs w:val="14"/>
          <w:i w:val="1"/>
          <w:iCs w:val="1"/>
          <w:color w:val="auto"/>
        </w:rPr>
      </w:pPr>
    </w:p>
    <w:p>
      <w:pPr>
        <w:ind w:left="290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Awareness of Ototoxicity &amp; Adoption of PEDMARK</w:t>
      </w:r>
      <w:r>
        <w:rPr>
          <w:rFonts w:ascii="Times New Roman" w:cs="Times New Roman" w:eastAsia="Times New Roman" w:hAnsi="Times New Roman"/>
          <w:sz w:val="10"/>
          <w:szCs w:val="10"/>
          <w:color w:val="auto"/>
        </w:rPr>
        <w:t>Ò</w:t>
      </w:r>
      <w:r>
        <w:rPr>
          <w:rFonts w:ascii="Times New Roman" w:cs="Times New Roman" w:eastAsia="Times New Roman" w:hAnsi="Times New Roman"/>
          <w:sz w:val="14"/>
          <w:szCs w:val="14"/>
          <w:i w:val="1"/>
          <w:iCs w:val="1"/>
          <w:color w:val="auto"/>
        </w:rPr>
        <w:t xml:space="preserve"> ~</w:t>
      </w:r>
    </w:p>
    <w:p>
      <w:pPr>
        <w:spacing w:after="0" w:line="145" w:lineRule="exact"/>
        <w:rPr>
          <w:rFonts w:ascii="Times New Roman" w:cs="Times New Roman" w:eastAsia="Times New Roman" w:hAnsi="Times New Roman"/>
          <w:sz w:val="14"/>
          <w:szCs w:val="14"/>
          <w:i w:val="1"/>
          <w:iCs w:val="1"/>
          <w:color w:val="auto"/>
        </w:rPr>
      </w:pPr>
    </w:p>
    <w:p>
      <w:pPr>
        <w:ind w:left="600" w:hanging="109"/>
        <w:spacing w:after="0"/>
        <w:tabs>
          <w:tab w:leader="none" w:pos="600" w:val="left"/>
        </w:tabs>
        <w:numPr>
          <w:ilvl w:val="2"/>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Strengthened Executive Leadership Team with Chief Medical Officer, Chief Commercial Officer &amp; Chief Strategy Officer Appointments ~</w:t>
      </w:r>
    </w:p>
    <w:p>
      <w:pPr>
        <w:spacing w:after="0" w:line="163" w:lineRule="exact"/>
        <w:rPr>
          <w:rFonts w:ascii="Times New Roman" w:cs="Times New Roman" w:eastAsia="Times New Roman" w:hAnsi="Times New Roman"/>
          <w:sz w:val="14"/>
          <w:szCs w:val="14"/>
          <w:i w:val="1"/>
          <w:iCs w:val="1"/>
          <w:color w:val="auto"/>
        </w:rPr>
      </w:pPr>
    </w:p>
    <w:p>
      <w:pPr>
        <w:ind w:left="320" w:hanging="105"/>
        <w:spacing w:after="0"/>
        <w:tabs>
          <w:tab w:leader="none" w:pos="3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Company Has Approximately $40 Million in Cash, Cash Equivalents, and Investment Securities Expected to Fund Operations Into at Least 2026 ~</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 Management to Host Conference Call Today at 8:30 a.m. ET ~</w:t>
      </w:r>
    </w:p>
    <w:p>
      <w:pPr>
        <w:spacing w:after="0" w:line="143" w:lineRule="exact"/>
        <w:rPr>
          <w:sz w:val="20"/>
          <w:szCs w:val="20"/>
          <w:color w:val="auto"/>
        </w:rPr>
      </w:pPr>
    </w:p>
    <w:p>
      <w:pPr>
        <w:jc w:val="both"/>
        <w:ind w:left="20" w:right="39"/>
        <w:spacing w:after="0" w:line="288" w:lineRule="auto"/>
        <w:rPr>
          <w:sz w:val="20"/>
          <w:szCs w:val="20"/>
          <w:color w:val="auto"/>
        </w:rPr>
      </w:pPr>
      <w:r>
        <w:rPr>
          <w:rFonts w:ascii="Times New Roman" w:cs="Times New Roman" w:eastAsia="Times New Roman" w:hAnsi="Times New Roman"/>
          <w:sz w:val="14"/>
          <w:szCs w:val="14"/>
          <w:b w:val="1"/>
          <w:bCs w:val="1"/>
          <w:color w:val="auto"/>
        </w:rPr>
        <w:t xml:space="preserve">Research Triangle Park, NC, November 7, 2024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Fennec Pharmaceuticals Inc. (NASDAQ:FENC; TSX: FRX), a specialty pharmaceutical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today reported its financial results for the third quarter ended September 30, 2024, and provided a business update.</w:t>
      </w:r>
    </w:p>
    <w:p>
      <w:pPr>
        <w:spacing w:after="0" w:line="104" w:lineRule="exact"/>
        <w:rPr>
          <w:sz w:val="20"/>
          <w:szCs w:val="20"/>
          <w:color w:val="auto"/>
        </w:rPr>
      </w:pPr>
    </w:p>
    <w:p>
      <w:pPr>
        <w:jc w:val="both"/>
        <w:ind w:left="20" w:right="39"/>
        <w:spacing w:after="0" w:line="249" w:lineRule="auto"/>
        <w:rPr>
          <w:sz w:val="20"/>
          <w:szCs w:val="20"/>
          <w:color w:val="auto"/>
        </w:rPr>
      </w:pPr>
      <w:r>
        <w:rPr>
          <w:rFonts w:ascii="Times New Roman" w:cs="Times New Roman" w:eastAsia="Times New Roman" w:hAnsi="Times New Roman"/>
          <w:sz w:val="14"/>
          <w:szCs w:val="14"/>
          <w:color w:val="auto"/>
        </w:rPr>
        <w:t>“I am pleased with the progress that we have made since recently joining Fennec in August as CEO. We are making significant headway that will position us for near-term and sustainable growth, including market expansion to the Adolescent and Young Adult (AYA) community with payor reimbursement, and adoption within prominent academic centers,” said Jeff Hackman, chief executive officer of Fennec Pharmaceuticals. “Our strategic and focused investments in educational initiatives reflect the strength of the foundation we are building upon with PEDMARK</w:t>
      </w:r>
      <w:r>
        <w:rPr>
          <w:rFonts w:ascii="Times New Roman" w:cs="Times New Roman" w:eastAsia="Times New Roman" w:hAnsi="Times New Roman"/>
          <w:sz w:val="10"/>
          <w:szCs w:val="10"/>
          <w:color w:val="auto"/>
        </w:rPr>
        <w:t>Ò</w:t>
      </w:r>
      <w:r>
        <w:rPr>
          <w:rFonts w:ascii="Times New Roman" w:cs="Times New Roman" w:eastAsia="Times New Roman" w:hAnsi="Times New Roman"/>
          <w:sz w:val="14"/>
          <w:szCs w:val="14"/>
          <w:color w:val="auto"/>
        </w:rPr>
        <w:t>. Together with the recent executive leadership team appointments combined with Fennec’s talented employee base, I believe that we are well positioned to execute, accelerate growth and unlock value across all key market segments.”</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Recent Developments and Highlights:</w:t>
      </w:r>
    </w:p>
    <w:p>
      <w:pPr>
        <w:spacing w:after="0" w:line="163" w:lineRule="exact"/>
        <w:rPr>
          <w:sz w:val="20"/>
          <w:szCs w:val="20"/>
          <w:color w:val="auto"/>
        </w:rPr>
      </w:pPr>
    </w:p>
    <w:p>
      <w:pPr>
        <w:jc w:val="both"/>
        <w:ind w:left="340" w:right="39" w:hanging="210"/>
        <w:spacing w:after="0" w:line="256"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Appointed Pierre S. Sayad, PhD, M.S., as chief medical officer, Terry Evans as chief commercial officer and Christiana Cioffi, MBA, as chief strategy officer. </w:t>
      </w:r>
      <w:r>
        <w:rPr>
          <w:rFonts w:ascii="Times New Roman" w:cs="Times New Roman" w:eastAsia="Times New Roman" w:hAnsi="Times New Roman"/>
          <w:sz w:val="14"/>
          <w:szCs w:val="14"/>
          <w:color w:val="auto"/>
        </w:rPr>
        <w:t>Seasoned biopharmaceutical industry executives with proven clinical, commercial, sales, operational, and oncology market expertise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significantly accelerate our ability to build upon and seamlessly execute our integrated commercial strategy for PEDMARK</w:t>
      </w:r>
      <w:r>
        <w:rPr>
          <w:rFonts w:ascii="Times New Roman" w:cs="Times New Roman" w:eastAsia="Times New Roman" w:hAnsi="Times New Roman"/>
          <w:sz w:val="10"/>
          <w:szCs w:val="10"/>
          <w:color w:val="auto"/>
        </w:rPr>
        <w:t>Ò</w:t>
      </w:r>
      <w:r>
        <w:rPr>
          <w:rFonts w:ascii="Times New Roman" w:cs="Times New Roman" w:eastAsia="Times New Roman" w:hAnsi="Times New Roman"/>
          <w:sz w:val="14"/>
          <w:szCs w:val="14"/>
          <w:color w:val="auto"/>
        </w:rPr>
        <w:t xml:space="preserve"> and create shareholder value.</w:t>
      </w:r>
    </w:p>
    <w:p>
      <w:pPr>
        <w:spacing w:after="0" w:line="123" w:lineRule="exact"/>
        <w:rPr>
          <w:rFonts w:ascii="Times New Roman" w:cs="Times New Roman" w:eastAsia="Times New Roman" w:hAnsi="Times New Roman"/>
          <w:sz w:val="14"/>
          <w:szCs w:val="14"/>
          <w:color w:val="auto"/>
        </w:rPr>
      </w:pPr>
    </w:p>
    <w:p>
      <w:pPr>
        <w:ind w:left="340" w:right="39" w:hanging="210"/>
        <w:spacing w:after="0" w:line="285"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Surpassed greater than 90% reimbursement for PEDMARK</w:t>
      </w:r>
      <w:r>
        <w:rPr>
          <w:rFonts w:ascii="Times New Roman" w:cs="Times New Roman" w:eastAsia="Times New Roman" w:hAnsi="Times New Roman"/>
          <w:sz w:val="10"/>
          <w:szCs w:val="10"/>
          <w:b w:val="1"/>
          <w:bCs w:val="1"/>
          <w:color w:val="auto"/>
        </w:rPr>
        <w:t>Ò</w:t>
      </w:r>
      <w:r>
        <w:rPr>
          <w:rFonts w:ascii="Times New Roman" w:cs="Times New Roman" w:eastAsia="Times New Roman" w:hAnsi="Times New Roman"/>
          <w:sz w:val="14"/>
          <w:szCs w:val="14"/>
          <w:b w:val="1"/>
          <w:bCs w:val="1"/>
          <w:color w:val="auto"/>
        </w:rPr>
        <w:t xml:space="preserve"> in the AYA population in Q3. </w:t>
      </w:r>
      <w:r>
        <w:rPr>
          <w:rFonts w:ascii="Times New Roman" w:cs="Times New Roman" w:eastAsia="Times New Roman" w:hAnsi="Times New Roman"/>
          <w:sz w:val="14"/>
          <w:szCs w:val="14"/>
          <w:color w:val="auto"/>
        </w:rPr>
        <w:t>Insights from a market and situational analysis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better understand patient incidence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204470</wp:posOffset>
            </wp:positionV>
            <wp:extent cx="569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jc w:val="both"/>
        <w:ind w:left="340" w:right="39"/>
        <w:spacing w:after="0" w:line="254" w:lineRule="auto"/>
        <w:rPr>
          <w:sz w:val="20"/>
          <w:szCs w:val="20"/>
          <w:color w:val="auto"/>
        </w:rPr>
      </w:pPr>
      <w:r>
        <w:rPr>
          <w:rFonts w:ascii="Times New Roman" w:cs="Times New Roman" w:eastAsia="Times New Roman" w:hAnsi="Times New Roman"/>
          <w:sz w:val="14"/>
          <w:szCs w:val="14"/>
          <w:color w:val="auto"/>
        </w:rPr>
        <w:t>addressable patient populations identified significant near-and long-term opportunities across the Pediatric and AYA market segments. The opportunity for the AYA segment is significant with at least 10,000 patients treated annually with cisplatin, including primary tumors such as germ cell tumors and thyroid tumors. The incidence of ototoxicity induced by cisplatin has been estimated to be 36% of adult patients with cancer and 40%-60% of pediatric cancer patients.</w:t>
      </w:r>
      <w:r>
        <w:rPr>
          <w:rFonts w:ascii="Times New Roman" w:cs="Times New Roman" w:eastAsia="Times New Roman" w:hAnsi="Times New Roman"/>
          <w:sz w:val="8"/>
          <w:szCs w:val="8"/>
          <w:u w:val="single" w:color="auto"/>
          <w:color w:val="0000EE"/>
        </w:rPr>
        <w:t>i</w:t>
      </w:r>
    </w:p>
    <w:p>
      <w:pPr>
        <w:spacing w:after="0" w:line="108" w:lineRule="exact"/>
        <w:rPr>
          <w:sz w:val="20"/>
          <w:szCs w:val="20"/>
          <w:color w:val="auto"/>
        </w:rPr>
      </w:pPr>
    </w:p>
    <w:p>
      <w:pPr>
        <w:jc w:val="both"/>
        <w:ind w:left="340" w:right="39" w:hanging="210"/>
        <w:spacing w:after="0" w:line="263"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PEDMARQSI</w:t>
      </w:r>
      <w:r>
        <w:rPr>
          <w:rFonts w:ascii="Times New Roman" w:cs="Times New Roman" w:eastAsia="Times New Roman" w:hAnsi="Times New Roman"/>
          <w:sz w:val="10"/>
          <w:szCs w:val="10"/>
          <w:b w:val="1"/>
          <w:bCs w:val="1"/>
          <w:color w:val="auto"/>
        </w:rPr>
        <w:t>Ò</w:t>
      </w:r>
      <w:r>
        <w:rPr>
          <w:rFonts w:ascii="Times New Roman" w:cs="Times New Roman" w:eastAsia="Times New Roman" w:hAnsi="Times New Roman"/>
          <w:sz w:val="14"/>
          <w:szCs w:val="14"/>
          <w:b w:val="1"/>
          <w:bCs w:val="1"/>
          <w:color w:val="auto"/>
        </w:rPr>
        <w:t xml:space="preserve"> commercial launch in Europe</w:t>
      </w:r>
      <w:r>
        <w:rPr>
          <w:rFonts w:ascii="Times New Roman" w:cs="Times New Roman" w:eastAsia="Times New Roman" w:hAnsi="Times New Roman"/>
          <w:sz w:val="14"/>
          <w:szCs w:val="14"/>
          <w:color w:val="auto"/>
        </w:rPr>
        <w:t>: Following the exclusive licensing agreement announcement executed in March with Norgine,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PEDMARQSI is expected to be available in select markets in Europe in the coming months, which will generate additional revenue for Fennec in 2025 and beyond.</w:t>
      </w:r>
    </w:p>
    <w:p>
      <w:pPr>
        <w:spacing w:after="0" w:line="118" w:lineRule="exact"/>
        <w:rPr>
          <w:rFonts w:ascii="Times New Roman" w:cs="Times New Roman" w:eastAsia="Times New Roman" w:hAnsi="Times New Roman"/>
          <w:sz w:val="14"/>
          <w:szCs w:val="14"/>
          <w:color w:val="auto"/>
        </w:rPr>
      </w:pPr>
    </w:p>
    <w:p>
      <w:pPr>
        <w:jc w:val="both"/>
        <w:ind w:left="340" w:right="39" w:hanging="210"/>
        <w:spacing w:after="0" w:line="256"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Investigator-initiated clinical trial (STS-J01) in Japan evaluating PEDMARK</w:t>
      </w:r>
      <w:r>
        <w:rPr>
          <w:rFonts w:ascii="Times New Roman" w:cs="Times New Roman" w:eastAsia="Times New Roman" w:hAnsi="Times New Roman"/>
          <w:sz w:val="10"/>
          <w:szCs w:val="10"/>
          <w:b w:val="1"/>
          <w:bCs w:val="1"/>
          <w:color w:val="auto"/>
        </w:rPr>
        <w:t>Ò</w:t>
      </w:r>
      <w:r>
        <w:rPr>
          <w:rFonts w:ascii="Times New Roman" w:cs="Times New Roman" w:eastAsia="Times New Roman" w:hAnsi="Times New Roman"/>
          <w:sz w:val="14"/>
          <w:szCs w:val="14"/>
          <w:b w:val="1"/>
          <w:bCs w:val="1"/>
          <w:color w:val="auto"/>
        </w:rPr>
        <w:t xml:space="preserve"> fully enrolled in October 2024: </w:t>
      </w:r>
      <w:r>
        <w:rPr>
          <w:rFonts w:ascii="Times New Roman" w:cs="Times New Roman" w:eastAsia="Times New Roman" w:hAnsi="Times New Roman"/>
          <w:sz w:val="14"/>
          <w:szCs w:val="14"/>
          <w:color w:val="auto"/>
        </w:rPr>
        <w:t>The clinical trial of STS-J01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evaluates the efficacy and safety of PEDMARK in reducing ototoxcity induced by cisplatin in children and AYAs with localized solid tumors. The primary endpoint of the trial is to assess the frequency of hearing impairment at the end of treatment. Results of the trial are expected in 2025 with the potential evaluation for registration of PEDMARK in Japan thereafter.</w:t>
      </w:r>
    </w:p>
    <w:p>
      <w:pPr>
        <w:spacing w:after="0" w:line="123" w:lineRule="exact"/>
        <w:rPr>
          <w:rFonts w:ascii="Times New Roman" w:cs="Times New Roman" w:eastAsia="Times New Roman" w:hAnsi="Times New Roman"/>
          <w:sz w:val="14"/>
          <w:szCs w:val="14"/>
          <w:color w:val="auto"/>
        </w:rPr>
      </w:pPr>
    </w:p>
    <w:p>
      <w:pPr>
        <w:jc w:val="both"/>
        <w:ind w:left="340" w:right="39" w:hanging="210"/>
        <w:spacing w:after="0" w:line="263"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Participation in Key Scientific Meetings: </w:t>
      </w:r>
      <w:r>
        <w:rPr>
          <w:rFonts w:ascii="Times New Roman" w:cs="Times New Roman" w:eastAsia="Times New Roman" w:hAnsi="Times New Roman"/>
          <w:sz w:val="14"/>
          <w:szCs w:val="14"/>
          <w:color w:val="auto"/>
        </w:rPr>
        <w:t>During the third quarter, Fennec actively participated in key regional and national scientific meetings,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the National Community Oncology Dispensing Association (NCODA) International Fall Summit, the Testicular Cancer Awareness Foundation’s annual Conference and the Association of Pediatric Hematology/Oncology Nurses (APHON) annual meeting.</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Financial Results for the Third Quarter 2024</w:t>
      </w:r>
    </w:p>
    <w:p>
      <w:pPr>
        <w:spacing w:after="0" w:line="163" w:lineRule="exact"/>
        <w:rPr>
          <w:sz w:val="20"/>
          <w:szCs w:val="20"/>
          <w:color w:val="auto"/>
        </w:rPr>
      </w:pPr>
    </w:p>
    <w:p>
      <w:pPr>
        <w:ind w:left="340" w:right="39" w:hanging="210"/>
        <w:spacing w:after="0" w:line="285"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Net Product Sales – </w:t>
      </w:r>
      <w:r>
        <w:rPr>
          <w:rFonts w:ascii="Times New Roman" w:cs="Times New Roman" w:eastAsia="Times New Roman" w:hAnsi="Times New Roman"/>
          <w:sz w:val="14"/>
          <w:szCs w:val="14"/>
          <w:color w:val="auto"/>
        </w:rPr>
        <w:t>The Company recorded net product sales of $7.0 million for the three-month period ended September 30, 2024, compared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$6.5 million in net product sales for the same period in 2023.</w:t>
      </w:r>
    </w:p>
    <w:p>
      <w:pPr>
        <w:spacing w:after="0" w:line="103" w:lineRule="exact"/>
        <w:rPr>
          <w:rFonts w:ascii="Times New Roman" w:cs="Times New Roman" w:eastAsia="Times New Roman" w:hAnsi="Times New Roman"/>
          <w:sz w:val="14"/>
          <w:szCs w:val="14"/>
          <w:color w:val="auto"/>
        </w:rPr>
      </w:pPr>
    </w:p>
    <w:p>
      <w:pPr>
        <w:jc w:val="both"/>
        <w:ind w:left="340" w:right="39" w:hanging="210"/>
        <w:spacing w:after="0" w:line="256"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Cash Position – </w:t>
      </w:r>
      <w:r>
        <w:rPr>
          <w:rFonts w:ascii="Times New Roman" w:cs="Times New Roman" w:eastAsia="Times New Roman" w:hAnsi="Times New Roman"/>
          <w:sz w:val="14"/>
          <w:szCs w:val="14"/>
          <w:color w:val="auto"/>
        </w:rPr>
        <w:t>Cash and cash equivalents were $40.3 million on September 30, 2024. Cash decreased by $2.7 million over the previous quarter.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decrease in cash is the result of cash inflows from net sales offset by cash outlays for operating expenses related to the promotion of our product, selling and marketing expenses and general and administrative expenses. We anticipate that our cash, cash equivalents and investment securities as of September 30, 2024 will be sufficient to fund our planned operations into at least 2026.</w:t>
      </w:r>
    </w:p>
    <w:p>
      <w:pPr>
        <w:spacing w:after="0" w:line="123" w:lineRule="exact"/>
        <w:rPr>
          <w:rFonts w:ascii="Times New Roman" w:cs="Times New Roman" w:eastAsia="Times New Roman" w:hAnsi="Times New Roman"/>
          <w:sz w:val="14"/>
          <w:szCs w:val="14"/>
          <w:color w:val="auto"/>
        </w:rPr>
      </w:pPr>
    </w:p>
    <w:p>
      <w:pPr>
        <w:jc w:val="both"/>
        <w:ind w:left="340" w:right="39" w:hanging="210"/>
        <w:spacing w:after="0" w:line="263"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Selling and Marketing Expenses </w:t>
      </w:r>
      <w:r>
        <w:rPr>
          <w:rFonts w:ascii="Times New Roman" w:cs="Times New Roman" w:eastAsia="Times New Roman" w:hAnsi="Times New Roman"/>
          <w:sz w:val="14"/>
          <w:szCs w:val="14"/>
          <w:color w:val="auto"/>
        </w:rPr>
        <w:t>–The Company recorded $4.6 million in selling and marketing expenses for the period ended September 30,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compared to $3.4 million for the same period in 2023. The increase is largely related to additional selling and marketing expenses as the Company expanded its focus in the AYA and community oncology population during 2024.</w:t>
      </w:r>
    </w:p>
    <w:p>
      <w:pPr>
        <w:spacing w:after="0" w:line="118" w:lineRule="exact"/>
        <w:rPr>
          <w:rFonts w:ascii="Times New Roman" w:cs="Times New Roman" w:eastAsia="Times New Roman" w:hAnsi="Times New Roman"/>
          <w:sz w:val="14"/>
          <w:szCs w:val="14"/>
          <w:color w:val="auto"/>
        </w:rPr>
      </w:pPr>
    </w:p>
    <w:p>
      <w:pPr>
        <w:ind w:left="340" w:right="39" w:hanging="210"/>
        <w:spacing w:after="0" w:line="285"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General and Administrative (G&amp;A) Expenses </w:t>
      </w:r>
      <w:r>
        <w:rPr>
          <w:rFonts w:ascii="Times New Roman" w:cs="Times New Roman" w:eastAsia="Times New Roman" w:hAnsi="Times New Roman"/>
          <w:sz w:val="14"/>
          <w:szCs w:val="14"/>
          <w:color w:val="auto"/>
        </w:rPr>
        <w:t>– G&amp;A expenses were $6.1 million compared to $3.8 million in the same period in 2023 and $6.9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million in the second quarter of 2024.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204470</wp:posOffset>
            </wp:positionV>
            <wp:extent cx="569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5" w:name="page46"/>
    <w:bookmarkEnd w:id="45"/>
    <w:p>
      <w:pPr>
        <w:ind w:left="340" w:right="39"/>
        <w:spacing w:after="0" w:line="281" w:lineRule="auto"/>
        <w:rPr>
          <w:sz w:val="20"/>
          <w:szCs w:val="20"/>
          <w:color w:val="auto"/>
        </w:rPr>
      </w:pPr>
      <w:r>
        <w:rPr>
          <w:rFonts w:ascii="Times New Roman" w:cs="Times New Roman" w:eastAsia="Times New Roman" w:hAnsi="Times New Roman"/>
          <w:sz w:val="14"/>
          <w:szCs w:val="14"/>
          <w:color w:val="auto"/>
        </w:rPr>
        <w:t>increase includes additional expenses related to non-cash equity compensation, one-time severance related to our previous CEO and ongoing IP litigation expenses.</w:t>
      </w:r>
    </w:p>
    <w:p>
      <w:pPr>
        <w:spacing w:after="0" w:line="107" w:lineRule="exact"/>
        <w:rPr>
          <w:sz w:val="20"/>
          <w:szCs w:val="20"/>
          <w:color w:val="auto"/>
        </w:rPr>
      </w:pPr>
    </w:p>
    <w:p>
      <w:pPr>
        <w:ind w:left="340" w:right="39" w:hanging="210"/>
        <w:spacing w:after="0" w:line="285" w:lineRule="auto"/>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Net Earnings – </w:t>
      </w:r>
      <w:r>
        <w:rPr>
          <w:rFonts w:ascii="Times New Roman" w:cs="Times New Roman" w:eastAsia="Times New Roman" w:hAnsi="Times New Roman"/>
          <w:sz w:val="14"/>
          <w:szCs w:val="14"/>
          <w:color w:val="auto"/>
        </w:rPr>
        <w:t>Net loss for the quarter ended September 30, 2024 was $5.7 million (basic and diluted loss of $0.21 per share) compared to a net loss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$1.9 million (basic and diluted loss of $0.07 per share) for the same period in 2023.</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Q3 2024 Conference Call Information</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4"/>
          <w:szCs w:val="14"/>
          <w:color w:val="auto"/>
        </w:rPr>
        <w:t>Thursday, November 7, 2024</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Time: </w:t>
      </w:r>
      <w:r>
        <w:rPr>
          <w:rFonts w:ascii="Times New Roman" w:cs="Times New Roman" w:eastAsia="Times New Roman" w:hAnsi="Times New Roman"/>
          <w:sz w:val="14"/>
          <w:szCs w:val="14"/>
          <w:color w:val="auto"/>
        </w:rPr>
        <w:t>8:30 a.m. ET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Link: https://edge.media-server.com/mmc/p/e6my278s</w:t>
      </w:r>
    </w:p>
    <w:p>
      <w:pPr>
        <w:spacing w:after="0" w:line="1" w:lineRule="exact"/>
        <w:rPr>
          <w:sz w:val="20"/>
          <w:szCs w:val="20"/>
          <w:color w:val="auto"/>
        </w:rPr>
      </w:pPr>
    </w:p>
    <w:p>
      <w:pPr>
        <w:ind w:left="20" w:right="139"/>
        <w:spacing w:after="0" w:line="247" w:lineRule="auto"/>
        <w:rPr>
          <w:sz w:val="20"/>
          <w:szCs w:val="20"/>
          <w:color w:val="auto"/>
        </w:rPr>
      </w:pPr>
      <w:r>
        <w:rPr>
          <w:rFonts w:ascii="Times New Roman" w:cs="Times New Roman" w:eastAsia="Times New Roman" w:hAnsi="Times New Roman"/>
          <w:sz w:val="14"/>
          <w:szCs w:val="14"/>
          <w:color w:val="auto"/>
        </w:rPr>
        <w:t>To access the conference call, dial 888-596-4144 or 646-968-2525 internationally and referencing the conference access ID: 6896851. To access the live webcast link, log onto www.fennecpharma.com and proceed to the News &amp; Events/Event Calendar page under the Investors &amp; Media heading. Please connect to the company’s website at least 15 minutes prior to the conference call to ensure adequate time for any software download that may be required to listen to the webcast. A webcast replay of the conference call will also be archived on www.fennecpharma.com for thirty days.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Financial Update</w:t>
      </w:r>
    </w:p>
    <w:p>
      <w:pPr>
        <w:spacing w:after="0" w:line="165"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4"/>
          <w:szCs w:val="14"/>
          <w:color w:val="auto"/>
        </w:rPr>
        <w:t>The selected financial data presented below is derived from our unaudited condensed consolidated financial statements, which were prepared in accordance with U.S. generally accepted accounting principles. The complete unaudited condensed consolidated financial statements for the period ended September 30, 2024 and management's discussion and analysis of financial condition and results of operations will be available via www.sec.gov and www.sedar.com</w:t>
      </w:r>
      <w:r>
        <w:rPr>
          <w:rFonts w:ascii="Times New Roman" w:cs="Times New Roman" w:eastAsia="Times New Roman" w:hAnsi="Times New Roman"/>
          <w:sz w:val="14"/>
          <w:szCs w:val="14"/>
          <w:color w:val="1F497D"/>
        </w:rPr>
        <w:t>.</w:t>
      </w:r>
      <w:r>
        <w:rPr>
          <w:rFonts w:ascii="Times New Roman" w:cs="Times New Roman" w:eastAsia="Times New Roman" w:hAnsi="Times New Roman"/>
          <w:sz w:val="14"/>
          <w:szCs w:val="14"/>
          <w:color w:val="auto"/>
        </w:rPr>
        <w:t xml:space="preserve"> All values are presented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2320290</wp:posOffset>
            </wp:positionV>
            <wp:extent cx="5692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2"/>
          <w:szCs w:val="12"/>
          <w:color w:val="auto"/>
        </w:rPr>
        <w:t>Unaudited Condensed Consolidated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(U.S. Dollars in thousands except share and per share amounts)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5"/>
          </w:tcPr>
          <w:p>
            <w:pPr>
              <w:jc w:val="right"/>
              <w:ind w:right="9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2" w:lineRule="exact"/>
              <w:rPr>
                <w:sz w:val="20"/>
                <w:szCs w:val="20"/>
                <w:color w:val="auto"/>
              </w:rPr>
            </w:pPr>
            <w:r>
              <w:rPr>
                <w:rFonts w:ascii="Calibri" w:cs="Calibri" w:eastAsia="Calibri" w:hAnsi="Calibri"/>
                <w:sz w:val="12"/>
                <w:szCs w:val="12"/>
                <w:b w:val="1"/>
                <w:bCs w:val="1"/>
                <w:color w:val="auto"/>
              </w:rPr>
              <w:t>Revenue</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PEDMARK product sales, net</w:t>
            </w:r>
          </w:p>
        </w:tc>
        <w:tc>
          <w:tcPr>
            <w:tcW w:w="15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6,974</w:t>
            </w:r>
          </w:p>
        </w:tc>
        <w:tc>
          <w:tcPr>
            <w:tcW w:w="1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products sold</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Selling and marketing</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7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(12,176)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from operations</w:t>
            </w:r>
          </w:p>
        </w:tc>
        <w:tc>
          <w:tcPr>
            <w:tcW w:w="14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(5,202)</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(1,017)</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(expense)/income</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foreign exchange loss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Amortization expense</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loss on securities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(1,025)</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(856)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8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other (expense)/income</w:t>
            </w:r>
          </w:p>
        </w:tc>
        <w:tc>
          <w:tcPr>
            <w:tcW w:w="1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(533)</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(850)</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8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w:t>
            </w:r>
          </w:p>
        </w:tc>
        <w:tc>
          <w:tcPr>
            <w:tcW w:w="1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(5,735)</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(1,867)</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net loss per common share</w:t>
            </w: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Diluted net loss per common share</w:t>
            </w:r>
          </w:p>
        </w:tc>
        <w:tc>
          <w:tcPr>
            <w:tcW w:w="1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(0.07)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Weighted-average number of common shares outstanding basic</w:t>
            </w: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27,371</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26,596</w:t>
            </w: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8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Weighted-average number of common shares outstanding diluted</w:t>
            </w:r>
          </w:p>
        </w:tc>
        <w:tc>
          <w:tcPr>
            <w:tcW w:w="1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27,371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26,596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9"/>
        </w:trPr>
        <w:tc>
          <w:tcPr>
            <w:tcW w:w="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9"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2"/>
          <w:szCs w:val="12"/>
          <w:color w:val="auto"/>
        </w:rPr>
        <w:t>Fennec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(U.S. Dollars and shares in thousands)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60" w:type="dxa"/>
            <w:vAlign w:val="bottom"/>
          </w:tcPr>
          <w:p>
            <w:pPr>
              <w:spacing w:after="0"/>
              <w:rPr>
                <w:sz w:val="12"/>
                <w:szCs w:val="12"/>
                <w:color w:val="auto"/>
              </w:rPr>
            </w:pPr>
          </w:p>
        </w:tc>
        <w:tc>
          <w:tcPr>
            <w:tcW w:w="9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Audited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12"/>
                <w:szCs w:val="12"/>
                <w:color w:val="auto"/>
              </w:rPr>
            </w:pPr>
          </w:p>
        </w:tc>
        <w:tc>
          <w:tcPr>
            <w:tcW w:w="9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8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40,320</w:t>
            </w:r>
          </w:p>
        </w:tc>
        <w:tc>
          <w:tcPr>
            <w:tcW w:w="1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Accounts receivable, net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Prepaid expenses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Inventory</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Other current assets</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5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57,965</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26,858</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Deferred issuance cost, net amortization</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5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956</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58,921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26,864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(deficit) equity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Accounts payable</w:t>
            </w:r>
          </w:p>
        </w:tc>
        <w:tc>
          <w:tcPr>
            <w:tcW w:w="6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Accrued liabilities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Deferred revenue-current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Operating lease liability-current</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5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7,435</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7,553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Term loan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PIK interest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Debt discount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(227)</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Contract liability</w:t>
            </w:r>
          </w:p>
        </w:tc>
        <w:tc>
          <w:tcPr>
            <w:tcW w:w="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24,561</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5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56,657</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30,933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5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64,092</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38,486</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Shareholders’(deficit) equity:</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ind w:left="60"/>
              <w:spacing w:after="0" w:line="138" w:lineRule="exact"/>
              <w:rPr>
                <w:sz w:val="20"/>
                <w:szCs w:val="20"/>
                <w:color w:val="auto"/>
              </w:rPr>
            </w:pPr>
            <w:r>
              <w:rPr>
                <w:rFonts w:ascii="Times New Roman" w:cs="Times New Roman" w:eastAsia="Times New Roman" w:hAnsi="Times New Roman"/>
                <w:sz w:val="12"/>
                <w:szCs w:val="12"/>
                <w:color w:val="auto"/>
              </w:rPr>
              <w:t xml:space="preserve">Common stock, no par value; unlimited shares authorized; 27,422 shares issued and outstanding (2023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27,027)</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145,438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144,307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65,844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Accumulated deficit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(217,696)</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(219,245)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shareholders’ (deficit) equity</w:t>
            </w:r>
          </w:p>
        </w:tc>
        <w:tc>
          <w:tcPr>
            <w:tcW w:w="5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(5,171)</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(11,622)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9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 and shareholders’ (deficit) equity</w:t>
            </w: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58,921</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26,864</w:t>
            </w:r>
          </w:p>
        </w:tc>
        <w:tc>
          <w:tcPr>
            <w:tcW w:w="0" w:type="dxa"/>
            <w:vAlign w:val="bottom"/>
          </w:tcPr>
          <w:p>
            <w:pPr>
              <w:spacing w:after="0"/>
              <w:rPr>
                <w:sz w:val="1"/>
                <w:szCs w:val="1"/>
                <w:color w:val="auto"/>
              </w:rPr>
            </w:pPr>
          </w:p>
        </w:tc>
      </w:tr>
      <w:tr>
        <w:trPr>
          <w:trHeight w:val="808"/>
        </w:trPr>
        <w:tc>
          <w:tcPr>
            <w:tcW w:w="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3" w:right="1440" w:bottom="1440" w:gutter="0" w:footer="0" w:header="0"/>
        </w:sectPr>
      </w:pPr>
    </w:p>
    <w:bookmarkStart w:id="48" w:name="page49"/>
    <w:bookmarkEnd w:id="4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Working Capital</w:t>
            </w: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5"/>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Working capital</w:t>
            </w:r>
          </w:p>
        </w:tc>
        <w:tc>
          <w:tcPr>
            <w:tcW w:w="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Fiscal Period Ended</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Selected Asset and Liability Data:</w:t>
            </w:r>
          </w:p>
        </w:tc>
        <w:tc>
          <w:tcPr>
            <w:tcW w:w="38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5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0" w:type="dxa"/>
            <w:vAlign w:val="bottom"/>
          </w:tcPr>
          <w:p>
            <w:pPr>
              <w:spacing w:after="0"/>
              <w:rPr>
                <w:sz w:val="12"/>
                <w:szCs w:val="12"/>
                <w:color w:val="auto"/>
              </w:rPr>
            </w:pPr>
          </w:p>
        </w:tc>
      </w:tr>
      <w:tr>
        <w:trPr>
          <w:trHeight w:val="142"/>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(U.S. Dollars in thousands)</w:t>
            </w: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equivalents</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40,320</w:t>
            </w:r>
          </w:p>
        </w:tc>
        <w:tc>
          <w:tcPr>
            <w:tcW w:w="180" w:type="dxa"/>
            <w:vAlign w:val="bottom"/>
          </w:tcPr>
          <w:p>
            <w:pPr>
              <w:spacing w:after="0"/>
              <w:rPr>
                <w:sz w:val="14"/>
                <w:szCs w:val="14"/>
                <w:color w:val="auto"/>
              </w:rPr>
            </w:pPr>
          </w:p>
        </w:tc>
        <w:tc>
          <w:tcPr>
            <w:tcW w:w="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13,269</w:t>
            </w:r>
          </w:p>
        </w:tc>
        <w:tc>
          <w:tcPr>
            <w:tcW w:w="20" w:type="dxa"/>
            <w:vAlign w:val="bottom"/>
          </w:tcPr>
          <w:p>
            <w:pPr>
              <w:spacing w:after="0"/>
              <w:rPr>
                <w:sz w:val="14"/>
                <w:szCs w:val="14"/>
                <w:color w:val="auto"/>
              </w:rPr>
            </w:pPr>
          </w:p>
        </w:tc>
      </w:tr>
      <w:tr>
        <w:trPr>
          <w:trHeight w:val="162"/>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17,645</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13,589</w:t>
            </w:r>
          </w:p>
        </w:tc>
        <w:tc>
          <w:tcPr>
            <w:tcW w:w="20" w:type="dxa"/>
            <w:vAlign w:val="bottom"/>
          </w:tcPr>
          <w:p>
            <w:pPr>
              <w:spacing w:after="0"/>
              <w:rPr>
                <w:sz w:val="14"/>
                <w:szCs w:val="14"/>
                <w:color w:val="auto"/>
              </w:rPr>
            </w:pPr>
          </w:p>
        </w:tc>
      </w:tr>
      <w:tr>
        <w:trPr>
          <w:trHeight w:val="162"/>
        </w:trPr>
        <w:tc>
          <w:tcPr>
            <w:tcW w:w="5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7,435</w:t>
            </w: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7,553</w:t>
            </w:r>
          </w:p>
        </w:tc>
        <w:tc>
          <w:tcPr>
            <w:tcW w:w="20" w:type="dxa"/>
            <w:vAlign w:val="bottom"/>
          </w:tcPr>
          <w:p>
            <w:pPr>
              <w:spacing w:after="0"/>
              <w:rPr>
                <w:sz w:val="14"/>
                <w:szCs w:val="14"/>
                <w:color w:val="auto"/>
              </w:rPr>
            </w:pPr>
          </w:p>
        </w:tc>
      </w:tr>
      <w:tr>
        <w:trPr>
          <w:trHeight w:val="140"/>
        </w:trPr>
        <w:tc>
          <w:tcPr>
            <w:tcW w:w="542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Working capital</w:t>
            </w:r>
          </w:p>
        </w:tc>
        <w:tc>
          <w:tcPr>
            <w:tcW w:w="380" w:type="dxa"/>
            <w:vAlign w:val="bottom"/>
            <w:tcBorders>
              <w:bottom w:val="single" w:sz="8" w:color="auto"/>
            </w:tcBorders>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50,530</w:t>
            </w:r>
          </w:p>
        </w:tc>
        <w:tc>
          <w:tcPr>
            <w:tcW w:w="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19,305</w:t>
            </w:r>
          </w:p>
        </w:tc>
        <w:tc>
          <w:tcPr>
            <w:tcW w:w="20" w:type="dxa"/>
            <w:vAlign w:val="bottom"/>
          </w:tcPr>
          <w:p>
            <w:pPr>
              <w:spacing w:after="0"/>
              <w:rPr>
                <w:sz w:val="12"/>
                <w:szCs w:val="12"/>
                <w:color w:val="auto"/>
              </w:rPr>
            </w:pPr>
          </w:p>
        </w:tc>
      </w:tr>
      <w:tr>
        <w:trPr>
          <w:trHeight w:val="144"/>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Selected Equity:</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 and additional paid in capital</w:t>
            </w: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211,282</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206,380</w:t>
            </w:r>
          </w:p>
        </w:tc>
        <w:tc>
          <w:tcPr>
            <w:tcW w:w="20" w:type="dxa"/>
            <w:vAlign w:val="bottom"/>
          </w:tcPr>
          <w:p>
            <w:pPr>
              <w:spacing w:after="0"/>
              <w:rPr>
                <w:sz w:val="14"/>
                <w:szCs w:val="14"/>
                <w:color w:val="auto"/>
              </w:rPr>
            </w:pPr>
          </w:p>
        </w:tc>
      </w:tr>
      <w:tr>
        <w:trPr>
          <w:trHeight w:val="162"/>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38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(217,696)</w:t>
            </w:r>
          </w:p>
        </w:tc>
        <w:tc>
          <w:tcPr>
            <w:tcW w:w="5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(219,245)</w:t>
            </w:r>
          </w:p>
        </w:tc>
      </w:tr>
      <w:tr>
        <w:trPr>
          <w:trHeight w:val="162"/>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Shareholders’ (deficit) equity</w:t>
            </w:r>
          </w:p>
        </w:tc>
        <w:tc>
          <w:tcPr>
            <w:tcW w:w="3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(5,171)</w:t>
            </w: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(11,622)</w:t>
            </w:r>
          </w:p>
        </w:tc>
        <w:tc>
          <w:tcPr>
            <w:tcW w:w="20" w:type="dxa"/>
            <w:vAlign w:val="bottom"/>
          </w:tcPr>
          <w:p>
            <w:pPr>
              <w:spacing w:after="0"/>
              <w:rPr>
                <w:sz w:val="14"/>
                <w:szCs w:val="14"/>
                <w:color w:val="auto"/>
              </w:rPr>
            </w:pP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About Cisplatin-Induced Ototoxicity</w:t>
      </w:r>
    </w:p>
    <w:p>
      <w:pPr>
        <w:spacing w:after="0" w:line="19" w:lineRule="exact"/>
        <w:rPr>
          <w:sz w:val="20"/>
          <w:szCs w:val="20"/>
          <w:color w:val="auto"/>
        </w:rPr>
      </w:pPr>
    </w:p>
    <w:p>
      <w:pPr>
        <w:jc w:val="both"/>
        <w:ind w:left="20" w:right="39"/>
        <w:spacing w:after="0" w:line="276" w:lineRule="auto"/>
        <w:rPr>
          <w:sz w:val="20"/>
          <w:szCs w:val="20"/>
          <w:color w:val="auto"/>
        </w:rPr>
      </w:pPr>
      <w:r>
        <w:rPr>
          <w:rFonts w:ascii="Times New Roman" w:cs="Times New Roman" w:eastAsia="Times New Roman" w:hAnsi="Times New Roman"/>
          <w:sz w:val="14"/>
          <w:szCs w:val="14"/>
          <w:color w:val="auto"/>
        </w:rPr>
        <w:t>Cisplatin and other platinum compounds are essential chemotherapeutic agents for the treatment of many pediatric malignancies. Unfortunately, platinum-based therapies can cause ototoxicity, or hearing loss, which is permanent, irreversible, and particularly harmful to the survivors of pediatric cancer.</w:t>
      </w:r>
      <w:r>
        <w:rPr>
          <w:rFonts w:ascii="Times New Roman" w:cs="Times New Roman" w:eastAsia="Times New Roman" w:hAnsi="Times New Roman"/>
          <w:sz w:val="21"/>
          <w:szCs w:val="21"/>
          <w:u w:val="single" w:color="auto"/>
          <w:color w:val="0000EE"/>
          <w:vertAlign w:val="superscript"/>
        </w:rPr>
        <w:t>ii</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incidence of ototoxicity depends upon the dose and duration of chemotherapy, and many of these children require lifelong hearing aids or cochlear</w:t>
      </w:r>
    </w:p>
    <w:p>
      <w:pPr>
        <w:spacing w:after="0" w:line="22" w:lineRule="exact"/>
        <w:rPr>
          <w:sz w:val="20"/>
          <w:szCs w:val="20"/>
          <w:color w:val="auto"/>
        </w:rPr>
      </w:pPr>
    </w:p>
    <w:p>
      <w:pPr>
        <w:jc w:val="both"/>
        <w:ind w:left="20" w:right="39"/>
        <w:spacing w:after="0" w:line="203" w:lineRule="auto"/>
        <w:rPr>
          <w:sz w:val="20"/>
          <w:szCs w:val="20"/>
          <w:color w:val="auto"/>
        </w:rPr>
      </w:pPr>
      <w:r>
        <w:rPr>
          <w:rFonts w:ascii="Times New Roman" w:cs="Times New Roman" w:eastAsia="Times New Roman" w:hAnsi="Times New Roman"/>
          <w:sz w:val="14"/>
          <w:szCs w:val="14"/>
          <w:color w:val="auto"/>
        </w:rPr>
        <w:t>implants, which can be helpful for some, but do not reverse the hearing loss and can be costly over time.</w:t>
      </w:r>
      <w:r>
        <w:rPr>
          <w:rFonts w:ascii="Times New Roman" w:cs="Times New Roman" w:eastAsia="Times New Roman" w:hAnsi="Times New Roman"/>
          <w:sz w:val="21"/>
          <w:szCs w:val="21"/>
          <w:u w:val="single" w:color="auto"/>
          <w:color w:val="0000EE"/>
          <w:vertAlign w:val="superscript"/>
        </w:rPr>
        <w:t>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Infants and young children that are affected by</w:t>
      </w:r>
      <w:r>
        <w:rPr>
          <w:rFonts w:ascii="Times New Roman" w:cs="Times New Roman" w:eastAsia="Times New Roman" w:hAnsi="Times New Roman"/>
          <w:sz w:val="14"/>
          <w:szCs w:val="14"/>
          <w:color w:val="auto"/>
        </w:rPr>
        <w:t xml:space="preserve"> ototoxicity at critical stages of development lack speech and language development and literacy, and older children and adolescents often lack social-</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emotional development and educational achievement.</w:t>
      </w:r>
      <w:r>
        <w:rPr>
          <w:rFonts w:ascii="Times New Roman" w:cs="Times New Roman" w:eastAsia="Times New Roman" w:hAnsi="Times New Roman"/>
          <w:sz w:val="21"/>
          <w:szCs w:val="21"/>
          <w:u w:val="single" w:color="auto"/>
          <w:color w:val="0000EE"/>
          <w:vertAlign w:val="superscript"/>
        </w:rPr>
        <w:t>iv</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PEDMARK</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rPr>
        <w:t xml:space="preserve"> (sodium thiosulfate injection)</w:t>
      </w:r>
    </w:p>
    <w:p>
      <w:pPr>
        <w:spacing w:after="0" w:line="19" w:lineRule="exact"/>
        <w:rPr>
          <w:sz w:val="20"/>
          <w:szCs w:val="20"/>
          <w:color w:val="auto"/>
        </w:rPr>
      </w:pPr>
    </w:p>
    <w:p>
      <w:pPr>
        <w:jc w:val="both"/>
        <w:ind w:left="20" w:right="39"/>
        <w:spacing w:after="0" w:line="245" w:lineRule="auto"/>
        <w:rPr>
          <w:sz w:val="20"/>
          <w:szCs w:val="20"/>
          <w:color w:val="auto"/>
        </w:rPr>
      </w:pPr>
      <w:r>
        <w:rPr>
          <w:rFonts w:ascii="Times New Roman" w:cs="Times New Roman" w:eastAsia="Times New Roman" w:hAnsi="Times New Roman"/>
          <w:sz w:val="14"/>
          <w:szCs w:val="14"/>
          <w:color w:val="auto"/>
        </w:rPr>
        <w:t>PEDMARK</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is the first and only U.S. Food and Drug Administration (FDA) approved therapy indicated to reduce the risk of ototoxicity associated with cisplatin treatment in pediatric patients with localized, non-metastatic, solid tumors. It is a unique formulation of sodium thiosulfate in single-dose, ready-to-use vials for intravenous use in pediatric patients. PEDMARK is also the first and only therapeutic agent with proven efficacy and safety data with an established dosing regimen, across two open-label, randomized Phase 3 clinical studies, the Children’s Oncology Group (COG) Protocol ACCL0431 and SIOPEL 6.</w:t>
      </w:r>
    </w:p>
    <w:p>
      <w:pPr>
        <w:spacing w:after="0" w:line="134" w:lineRule="exact"/>
        <w:rPr>
          <w:sz w:val="20"/>
          <w:szCs w:val="20"/>
          <w:color w:val="auto"/>
        </w:rPr>
      </w:pPr>
    </w:p>
    <w:p>
      <w:pPr>
        <w:jc w:val="both"/>
        <w:ind w:left="20" w:right="39"/>
        <w:spacing w:after="0" w:line="251" w:lineRule="auto"/>
        <w:rPr>
          <w:sz w:val="20"/>
          <w:szCs w:val="20"/>
          <w:color w:val="auto"/>
        </w:rPr>
      </w:pPr>
      <w:r>
        <w:rPr>
          <w:rFonts w:ascii="Times New Roman" w:cs="Times New Roman" w:eastAsia="Times New Roman" w:hAnsi="Times New Roman"/>
          <w:sz w:val="14"/>
          <w:szCs w:val="14"/>
          <w:color w:val="auto"/>
        </w:rPr>
        <w:t>In the U.S. and Europe, it is estimated that, annually, more than 10,000 children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322580</wp:posOffset>
            </wp:positionV>
            <wp:extent cx="569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49" w:name="page50"/>
    <w:bookmarkEnd w:id="49"/>
    <w:p>
      <w:pPr>
        <w:jc w:val="both"/>
        <w:ind w:left="20" w:right="39"/>
        <w:spacing w:after="0" w:line="254" w:lineRule="auto"/>
        <w:rPr>
          <w:sz w:val="20"/>
          <w:szCs w:val="20"/>
          <w:color w:val="auto"/>
        </w:rPr>
      </w:pPr>
      <w:r>
        <w:rPr>
          <w:rFonts w:ascii="Times New Roman" w:cs="Times New Roman" w:eastAsia="Times New Roman" w:hAnsi="Times New Roman"/>
          <w:sz w:val="14"/>
          <w:szCs w:val="14"/>
          <w:color w:val="auto"/>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Indications and Usage</w:t>
      </w:r>
    </w:p>
    <w:p>
      <w:pPr>
        <w:spacing w:after="0" w:line="19" w:lineRule="exact"/>
        <w:rPr>
          <w:sz w:val="20"/>
          <w:szCs w:val="20"/>
          <w:color w:val="auto"/>
        </w:rPr>
      </w:pPr>
    </w:p>
    <w:p>
      <w:pPr>
        <w:jc w:val="both"/>
        <w:ind w:left="20" w:right="39"/>
        <w:spacing w:after="0" w:line="258" w:lineRule="auto"/>
        <w:rPr>
          <w:sz w:val="20"/>
          <w:szCs w:val="20"/>
          <w:color w:val="auto"/>
        </w:rPr>
      </w:pPr>
      <w:r>
        <w:rPr>
          <w:rFonts w:ascii="Times New Roman" w:cs="Times New Roman" w:eastAsia="Times New Roman" w:hAnsi="Times New Roman"/>
          <w:sz w:val="14"/>
          <w:szCs w:val="14"/>
          <w:color w:val="auto"/>
        </w:rPr>
        <w:t>PEDMARK</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(sodium thiosulfate injection) is indicated to reduce the risk of ototoxicity associated with cisplatin in pediatric patients 1 month of age and older with localized, non-metastatic solid tumors.</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Limitations of Use</w:t>
      </w:r>
    </w:p>
    <w:p>
      <w:pPr>
        <w:spacing w:after="0" w:line="19" w:lineRule="exact"/>
        <w:rPr>
          <w:sz w:val="20"/>
          <w:szCs w:val="20"/>
          <w:color w:val="auto"/>
        </w:rPr>
      </w:pPr>
    </w:p>
    <w:p>
      <w:pPr>
        <w:jc w:val="both"/>
        <w:ind w:left="20" w:right="39"/>
        <w:spacing w:after="0" w:line="258" w:lineRule="auto"/>
        <w:rPr>
          <w:sz w:val="20"/>
          <w:szCs w:val="20"/>
          <w:color w:val="auto"/>
        </w:rPr>
      </w:pPr>
      <w:r>
        <w:rPr>
          <w:rFonts w:ascii="Times New Roman" w:cs="Times New Roman" w:eastAsia="Times New Roman" w:hAnsi="Times New Roman"/>
          <w:sz w:val="14"/>
          <w:szCs w:val="14"/>
          <w:color w:val="auto"/>
        </w:rP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Important Safety Information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PEDMARK is contraindicated in patients with history of a severe hypersensitivity to sodium thiosulfate or any of its components.</w:t>
      </w:r>
    </w:p>
    <w:p>
      <w:pPr>
        <w:spacing w:after="0" w:line="147"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4"/>
          <w:szCs w:val="14"/>
          <w:color w:val="auto"/>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spacing w:after="0" w:line="126" w:lineRule="exact"/>
        <w:rPr>
          <w:sz w:val="20"/>
          <w:szCs w:val="20"/>
          <w:color w:val="auto"/>
        </w:rPr>
      </w:pPr>
    </w:p>
    <w:p>
      <w:pPr>
        <w:jc w:val="both"/>
        <w:ind w:left="20" w:right="39"/>
        <w:spacing w:after="0" w:line="282" w:lineRule="auto"/>
        <w:rPr>
          <w:sz w:val="20"/>
          <w:szCs w:val="20"/>
          <w:color w:val="auto"/>
        </w:rPr>
      </w:pPr>
      <w:r>
        <w:rPr>
          <w:rFonts w:ascii="Times New Roman" w:cs="Times New Roman" w:eastAsia="Times New Roman" w:hAnsi="Times New Roman"/>
          <w:sz w:val="14"/>
          <w:szCs w:val="14"/>
          <w:color w:val="auto"/>
        </w:rPr>
        <w:t>PEDMARK is not indicated for use in pediatric patients less than 1 month of age due to the increased risk of hypernatremia or in pediatric patients with metastatic cancers.</w:t>
      </w:r>
    </w:p>
    <w:p>
      <w:pPr>
        <w:spacing w:after="0" w:line="108" w:lineRule="exact"/>
        <w:rPr>
          <w:sz w:val="20"/>
          <w:szCs w:val="20"/>
          <w:color w:val="auto"/>
        </w:rPr>
      </w:pPr>
    </w:p>
    <w:p>
      <w:pPr>
        <w:jc w:val="both"/>
        <w:ind w:left="20" w:right="39"/>
        <w:spacing w:after="0" w:line="261" w:lineRule="auto"/>
        <w:rPr>
          <w:sz w:val="20"/>
          <w:szCs w:val="20"/>
          <w:color w:val="auto"/>
        </w:rPr>
      </w:pPr>
      <w:r>
        <w:rPr>
          <w:rFonts w:ascii="Times New Roman" w:cs="Times New Roman" w:eastAsia="Times New Roman" w:hAnsi="Times New Roman"/>
          <w:sz w:val="14"/>
          <w:szCs w:val="14"/>
          <w:color w:val="auto"/>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Monitor for signs and symptoms of hypernatremia and hypokalemia more closely if the glomerular filtration rate (GFR) falls below 60 mL/min/1.73m</w:t>
      </w:r>
      <w:r>
        <w:rPr>
          <w:rFonts w:ascii="Times New Roman" w:cs="Times New Roman" w:eastAsia="Times New Roman" w:hAnsi="Times New Roman"/>
          <w:sz w:val="10"/>
          <w:szCs w:val="10"/>
          <w:color w:val="auto"/>
        </w:rPr>
        <w:t>2</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Administer antiemetics prior to each PEDMARK administration. Provide additional antiemetics and supportive care as appropriate.</w:t>
      </w:r>
    </w:p>
    <w:p>
      <w:pPr>
        <w:spacing w:after="0" w:line="163" w:lineRule="exact"/>
        <w:rPr>
          <w:sz w:val="20"/>
          <w:szCs w:val="20"/>
          <w:color w:val="auto"/>
        </w:rPr>
      </w:pPr>
    </w:p>
    <w:p>
      <w:pPr>
        <w:jc w:val="both"/>
        <w:ind w:left="20" w:right="39"/>
        <w:spacing w:after="0" w:line="261" w:lineRule="auto"/>
        <w:rPr>
          <w:sz w:val="20"/>
          <w:szCs w:val="20"/>
          <w:color w:val="auto"/>
        </w:rPr>
      </w:pPr>
      <w:r>
        <w:rPr>
          <w:rFonts w:ascii="Times New Roman" w:cs="Times New Roman" w:eastAsia="Times New Roman" w:hAnsi="Times New Roman"/>
          <w:sz w:val="14"/>
          <w:szCs w:val="14"/>
          <w:color w:val="auto"/>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215265</wp:posOffset>
            </wp:positionV>
            <wp:extent cx="569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4"/>
          <w:szCs w:val="14"/>
          <w:color w:val="auto"/>
        </w:rPr>
        <w:t>Please see full Prescribing Information for PEDMARK</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at: www.PEDMARK.com.</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About Fennec Pharmaceuticals</w:t>
      </w:r>
    </w:p>
    <w:p>
      <w:pPr>
        <w:spacing w:after="0" w:line="19" w:lineRule="exact"/>
        <w:rPr>
          <w:sz w:val="20"/>
          <w:szCs w:val="20"/>
          <w:color w:val="auto"/>
        </w:rPr>
      </w:pPr>
    </w:p>
    <w:p>
      <w:pPr>
        <w:jc w:val="both"/>
        <w:ind w:left="20" w:right="39"/>
        <w:spacing w:after="0" w:line="245" w:lineRule="auto"/>
        <w:rPr>
          <w:sz w:val="20"/>
          <w:szCs w:val="20"/>
          <w:color w:val="auto"/>
        </w:rPr>
      </w:pPr>
      <w:r>
        <w:rPr>
          <w:rFonts w:ascii="Times New Roman" w:cs="Times New Roman" w:eastAsia="Times New Roman" w:hAnsi="Times New Roman"/>
          <w:sz w:val="14"/>
          <w:szCs w:val="14"/>
          <w:color w:val="auto"/>
        </w:rPr>
        <w:t>Fennec Pharmaceuticals Inc. is a specialty pharmaceutical company focused on the development and commercialization of PEDMARK</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to reduce the risk of platinum-induced ototoxicity in pediatric patients. Further, PEDMARK received FDA approval in September 2022 and European Commission approval in June 2023 and U.K. approval in October 2023 under the brand name PEDMARQSI</w:t>
      </w:r>
      <w:r>
        <w:rPr>
          <w:rFonts w:ascii="Times New Roman" w:cs="Times New Roman" w:eastAsia="Times New Roman" w:hAnsi="Times New Roman"/>
          <w:sz w:val="10"/>
          <w:szCs w:val="10"/>
          <w:color w:val="auto"/>
        </w:rPr>
        <w:t>Ò</w:t>
      </w:r>
      <w:r>
        <w:rPr>
          <w:rFonts w:ascii="Times New Roman" w:cs="Times New Roman" w:eastAsia="Times New Roman" w:hAnsi="Times New Roman"/>
          <w:sz w:val="14"/>
          <w:szCs w:val="14"/>
          <w:color w:val="auto"/>
        </w:rPr>
        <w:t>. PEDMARK has received Orphan Drug Exclusivity in the U.S. and PEDMARQSI has received Pediatric Use Marketing Authorization in Europe which includes eight years plus two years of data and market protection. For more information, please visit www.fennecpharma.com.</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Forward Looking Statements</w:t>
      </w:r>
    </w:p>
    <w:p>
      <w:pPr>
        <w:spacing w:after="0" w:line="21" w:lineRule="exact"/>
        <w:rPr>
          <w:sz w:val="20"/>
          <w:szCs w:val="20"/>
          <w:color w:val="auto"/>
        </w:rPr>
      </w:pPr>
    </w:p>
    <w:p>
      <w:pPr>
        <w:jc w:val="both"/>
        <w:ind w:left="20" w:right="39"/>
        <w:spacing w:after="0" w:line="242" w:lineRule="auto"/>
        <w:rPr>
          <w:sz w:val="20"/>
          <w:szCs w:val="20"/>
          <w:color w:val="auto"/>
        </w:rPr>
      </w:pPr>
      <w:r>
        <w:rPr>
          <w:rFonts w:ascii="Times New Roman" w:cs="Times New Roman" w:eastAsia="Times New Roman" w:hAnsi="Times New Roman"/>
          <w:sz w:val="14"/>
          <w:szCs w:val="14"/>
          <w:i w:val="1"/>
          <w:iCs w:val="1"/>
          <w:color w:val="auto"/>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4"/>
          <w:szCs w:val="14"/>
          <w:i w:val="1"/>
          <w:iCs w:val="1"/>
          <w:color w:val="auto"/>
        </w:rPr>
        <w:t>, the market opportunity for and market impact of PEDMARK</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4"/>
          <w:szCs w:val="14"/>
          <w:i w:val="1"/>
          <w:iCs w:val="1"/>
          <w:color w:val="auto"/>
        </w:rPr>
        <w:t>, its potential impact on patients and anticipated benefits associated with its use, 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2023. Fennec disclaims any obligation to update these forward-looking statements except as required by law.</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For a more detailed discussion of related risk factors, please refer to our public filings available at www.sec.gov and www.sedar.com.</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PEDMARK</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and Fennec</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are registered trademarks of Fennec Pharmaceuticals Inc.</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©2024 Fennec Pharmaceuticals Inc. All rights reserved. FEN-1604-v1</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further information,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344805</wp:posOffset>
            </wp:positionV>
            <wp:extent cx="569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Andrade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Fennec Pharmaceuticals Inc.</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+1 919-246-5299</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Corporate and Media:</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Lindsay Rocco</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Elixir Health Public Relations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+1 862-596-1304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lrocco@elixirhealthpr.com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116205</wp:posOffset>
            </wp:positionV>
            <wp:extent cx="14230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224" w:lineRule="exact"/>
        <w:rPr>
          <w:sz w:val="20"/>
          <w:szCs w:val="20"/>
          <w:color w:val="auto"/>
        </w:rPr>
      </w:pPr>
    </w:p>
    <w:p>
      <w:pPr>
        <w:ind w:left="20" w:firstLine="2"/>
        <w:spacing w:after="0" w:line="278" w:lineRule="auto"/>
        <w:tabs>
          <w:tab w:leader="none" w:pos="75"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Asmi Chattaraj et al., Cisplatin-Induced Ototoxicity: A Concise Review of the Burden, Prevention, and Interception Strategies. JCO Oncol Pract 19, 278-283(2023). DOI:10.1200/OP.22.00710 https://ascopubs.org/doi/10.1200/OP.22.00710#:~:text=The%20incidence%20of%20ototoxicity%20induced,%25%2D60%25%20of%20pediatric%20patients.&amp;text=Ototoxicity%20can%20be%20vestibular%20o </w:t>
      </w:r>
      <w:r>
        <w:rPr>
          <w:rFonts w:ascii="Times New Roman" w:cs="Times New Roman" w:eastAsia="Times New Roman" w:hAnsi="Times New Roman"/>
          <w:sz w:val="16"/>
          <w:szCs w:val="16"/>
          <w:color w:val="auto"/>
          <w:vertAlign w:val="superscript"/>
        </w:rPr>
        <w:t>ii</w:t>
      </w:r>
      <w:r>
        <w:rPr>
          <w:rFonts w:ascii="Times New Roman" w:cs="Times New Roman" w:eastAsia="Times New Roman" w:hAnsi="Times New Roman"/>
          <w:sz w:val="11"/>
          <w:szCs w:val="11"/>
          <w:color w:val="auto"/>
        </w:rPr>
        <w:t xml:space="preserve"> Rybak L. Mechanisms of Cisplatin Ototoxicity and Progress in Otoprotection. Current Opinion in Otolaryngology &amp; Head and Neck Surgery. 2007, Vol. 15: 364-369.</w:t>
      </w:r>
    </w:p>
    <w:p>
      <w:pPr>
        <w:spacing w:after="0" w:line="1" w:lineRule="exact"/>
        <w:rPr>
          <w:rFonts w:ascii="Times New Roman" w:cs="Times New Roman" w:eastAsia="Times New Roman" w:hAnsi="Times New Roman"/>
          <w:sz w:val="17"/>
          <w:szCs w:val="17"/>
          <w:color w:val="auto"/>
          <w:vertAlign w:val="superscript"/>
        </w:rPr>
      </w:pPr>
    </w:p>
    <w:p>
      <w:pPr>
        <w:ind w:left="20"/>
        <w:spacing w:after="0" w:line="187"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iii</w:t>
      </w:r>
      <w:r>
        <w:rPr>
          <w:rFonts w:ascii="Times New Roman" w:cs="Times New Roman" w:eastAsia="Times New Roman" w:hAnsi="Times New Roman"/>
          <w:sz w:val="11"/>
          <w:szCs w:val="11"/>
          <w:color w:val="auto"/>
        </w:rPr>
        <w:t xml:space="preserve"> Landier W. Ototoxicity and Cancer Therapy. </w:t>
      </w:r>
      <w:r>
        <w:rPr>
          <w:rFonts w:ascii="Times New Roman" w:cs="Times New Roman" w:eastAsia="Times New Roman" w:hAnsi="Times New Roman"/>
          <w:sz w:val="11"/>
          <w:szCs w:val="11"/>
          <w:i w:val="1"/>
          <w:iCs w:val="1"/>
          <w:color w:val="auto"/>
        </w:rPr>
        <w:t>Cancer</w:t>
      </w:r>
      <w:r>
        <w:rPr>
          <w:rFonts w:ascii="Times New Roman" w:cs="Times New Roman" w:eastAsia="Times New Roman" w:hAnsi="Times New Roman"/>
          <w:sz w:val="11"/>
          <w:szCs w:val="11"/>
          <w:color w:val="auto"/>
        </w:rPr>
        <w:t>. June 2016 Vol. 122, No.11: 1647-1658.</w:t>
      </w:r>
    </w:p>
    <w:p>
      <w:pPr>
        <w:ind w:left="20" w:right="1340"/>
        <w:spacing w:after="0" w:line="206"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vertAlign w:val="superscript"/>
        </w:rPr>
        <w:t>iv</w:t>
      </w:r>
      <w:r>
        <w:rPr>
          <w:rFonts w:ascii="Times New Roman" w:cs="Times New Roman" w:eastAsia="Times New Roman" w:hAnsi="Times New Roman"/>
          <w:sz w:val="12"/>
          <w:szCs w:val="12"/>
          <w:color w:val="auto"/>
        </w:rPr>
        <w:t xml:space="preserve"> Bass JK, Knight KR, Yock TI, et al. Evaluation and Management of Hearing Loss in Survivors of Childhood and Adolescent Cancers: A Report from the Children's Oncology Group. </w:t>
      </w:r>
      <w:r>
        <w:rPr>
          <w:rFonts w:ascii="Times New Roman" w:cs="Times New Roman" w:eastAsia="Times New Roman" w:hAnsi="Times New Roman"/>
          <w:sz w:val="12"/>
          <w:szCs w:val="12"/>
          <w:i w:val="1"/>
          <w:iCs w:val="1"/>
          <w:color w:val="auto"/>
        </w:rPr>
        <w:t>Pediatric Blood &amp; Cancer</w:t>
      </w:r>
      <w:r>
        <w:rPr>
          <w:rFonts w:ascii="Times New Roman" w:cs="Times New Roman" w:eastAsia="Times New Roman" w:hAnsi="Times New Roman"/>
          <w:sz w:val="12"/>
          <w:szCs w:val="12"/>
          <w:color w:val="auto"/>
        </w:rPr>
        <w:t>. 2016 Jul;63(7):1152-1162.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229235</wp:posOffset>
            </wp:positionV>
            <wp:extent cx="56921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sectPr>
      <w:pgSz w:w="11900" w:h="16838" w:orient="portrait"/>
      <w:cols w:equalWidth="0" w:num="1">
        <w:col w:w="10200"/>
      </w:cols>
      <w:pgMar w:left="1440" w:top="1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9"/>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2"/>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04"/>
    </w:lvl>
  </w:abstractNum>
  <w:abstractNum w:abstractNumId="19">
    <w:nsid w:val="75A2A8D4"/>
    <w:multiLevelType w:val="hybridMultilevel"/>
    <w:lvl w:ilvl="0">
      <w:lvlJc w:val="left"/>
      <w:lvlText w:val="%1."/>
      <w:numFmt w:val="decimal"/>
      <w:start w:val="1"/>
    </w:lvl>
    <w:lvl w:ilvl="1">
      <w:lvlJc w:val="left"/>
      <w:lvlText w:val="(%2)"/>
      <w:numFmt w:val="low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2024-11-08T16:32:06Z</dcterms:created>
  <dcterms:modified xsi:type="dcterms:W3CDTF">2024-11-08T16:32:06Z</dcterms:modified>
</cp:coreProperties>
</file>