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11, 2026</w:t>
      </w:r>
    </w:p>
    <w:p>
      <w:pPr>
        <w:spacing w:after="0" w:line="22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52705</wp:posOffset>
            </wp:positionV>
            <wp:extent cx="71335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86360</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FENNEC PHARMACEUTICALS INC.</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98"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71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British Columbia, Canada</w:t>
            </w: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20-0442384</w:t>
            </w:r>
          </w:p>
        </w:tc>
      </w:tr>
      <w:tr>
        <w:trPr>
          <w:trHeight w:val="191"/>
        </w:trPr>
        <w:tc>
          <w:tcPr>
            <w:tcW w:w="70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140" w:type="dxa"/>
            <w:vAlign w:val="bottom"/>
          </w:tcPr>
          <w:p>
            <w:pPr>
              <w:spacing w:after="0"/>
              <w:rPr>
                <w:sz w:val="16"/>
                <w:szCs w:val="16"/>
                <w:color w:val="auto"/>
              </w:rPr>
            </w:pPr>
          </w:p>
        </w:tc>
        <w:tc>
          <w:tcPr>
            <w:tcW w:w="41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7"/>
        </w:trPr>
        <w:tc>
          <w:tcPr>
            <w:tcW w:w="71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4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Identification No.)</w:t>
            </w:r>
          </w:p>
        </w:tc>
      </w:tr>
    </w:tbl>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 Box 13628, 68 TW Alexander Drive</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Research Triangle Park, NC 27709</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Fennec Pharmaceuticals Inc. 2020 Equity Incentive Plan</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(Full Title of the Plans)</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Jeff Hackman</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 Box 13628, 68 TW Alexander Drive</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Research Triangle Park, NC 27709</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and Address of Agent for Service)</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(919) 636-4530</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Number, including Area Code, of Agent for Service)</w:t>
      </w:r>
    </w:p>
    <w:p>
      <w:pPr>
        <w:spacing w:after="0" w:line="200" w:lineRule="exact"/>
        <w:rPr>
          <w:sz w:val="24"/>
          <w:szCs w:val="24"/>
          <w:color w:val="auto"/>
        </w:rPr>
      </w:pPr>
    </w:p>
    <w:tbl>
      <w:tblPr>
        <w:tblLayout w:type="fixed"/>
        <w:tblInd w:w="1580" w:type="dxa"/>
        <w:tblCellMar>
          <w:top w:w="0" w:type="dxa"/>
          <w:left w:w="0" w:type="dxa"/>
          <w:bottom w:w="0" w:type="dxa"/>
          <w:right w:w="0" w:type="dxa"/>
        </w:tblCellMar>
      </w:tblPr>
      <w:tr>
        <w:trPr>
          <w:trHeight w:val="235"/>
        </w:trPr>
        <w:tc>
          <w:tcPr>
            <w:tcW w:w="3080" w:type="dxa"/>
            <w:vAlign w:val="bottom"/>
          </w:tcPr>
          <w:p>
            <w:pPr>
              <w:spacing w:after="0"/>
              <w:rPr>
                <w:sz w:val="20"/>
                <w:szCs w:val="20"/>
                <w:color w:val="auto"/>
              </w:rPr>
            </w:pPr>
          </w:p>
        </w:tc>
        <w:tc>
          <w:tcPr>
            <w:tcW w:w="4820" w:type="dxa"/>
            <w:vAlign w:val="bottom"/>
          </w:tcPr>
          <w:p>
            <w:pPr>
              <w:ind w:left="600"/>
              <w:spacing w:after="0"/>
              <w:rPr>
                <w:sz w:val="20"/>
                <w:szCs w:val="20"/>
                <w:color w:val="auto"/>
              </w:rPr>
            </w:pPr>
            <w:r>
              <w:rPr>
                <w:rFonts w:ascii="Times New Roman" w:cs="Times New Roman" w:eastAsia="Times New Roman" w:hAnsi="Times New Roman"/>
                <w:sz w:val="18"/>
                <w:szCs w:val="18"/>
                <w:i w:val="1"/>
                <w:iCs w:val="1"/>
                <w:color w:val="auto"/>
              </w:rPr>
              <w:t>Copies to:</w:t>
            </w:r>
          </w:p>
        </w:tc>
      </w:tr>
      <w:tr>
        <w:trPr>
          <w:trHeight w:val="405"/>
        </w:trPr>
        <w:tc>
          <w:tcPr>
            <w:tcW w:w="3080" w:type="dxa"/>
            <w:vAlign w:val="bottom"/>
          </w:tcPr>
          <w:p>
            <w:pPr>
              <w:jc w:val="center"/>
              <w:ind w:right="531"/>
              <w:spacing w:after="0"/>
              <w:rPr>
                <w:sz w:val="20"/>
                <w:szCs w:val="20"/>
                <w:color w:val="auto"/>
              </w:rPr>
            </w:pPr>
            <w:r>
              <w:rPr>
                <w:rFonts w:ascii="Times New Roman" w:cs="Times New Roman" w:eastAsia="Times New Roman" w:hAnsi="Times New Roman"/>
                <w:sz w:val="18"/>
                <w:szCs w:val="18"/>
                <w:b w:val="1"/>
                <w:bCs w:val="1"/>
                <w:color w:val="auto"/>
                <w:w w:val="97"/>
              </w:rPr>
              <w:t>Garett Sleichter, Esq.</w:t>
            </w:r>
          </w:p>
        </w:tc>
        <w:tc>
          <w:tcPr>
            <w:tcW w:w="4820" w:type="dxa"/>
            <w:vAlign w:val="bottom"/>
          </w:tcPr>
          <w:p>
            <w:pPr>
              <w:jc w:val="center"/>
              <w:ind w:left="2651"/>
              <w:spacing w:after="0"/>
              <w:rPr>
                <w:sz w:val="20"/>
                <w:szCs w:val="20"/>
                <w:color w:val="auto"/>
              </w:rPr>
            </w:pPr>
            <w:r>
              <w:rPr>
                <w:rFonts w:ascii="Times New Roman" w:cs="Times New Roman" w:eastAsia="Times New Roman" w:hAnsi="Times New Roman"/>
                <w:sz w:val="18"/>
                <w:szCs w:val="18"/>
                <w:b w:val="1"/>
                <w:bCs w:val="1"/>
                <w:color w:val="auto"/>
                <w:w w:val="95"/>
              </w:rPr>
              <w:t>Randy Taylor, Esq.</w:t>
            </w:r>
          </w:p>
        </w:tc>
      </w:tr>
      <w:tr>
        <w:trPr>
          <w:trHeight w:val="214"/>
        </w:trPr>
        <w:tc>
          <w:tcPr>
            <w:tcW w:w="3080" w:type="dxa"/>
            <w:vAlign w:val="bottom"/>
          </w:tcPr>
          <w:p>
            <w:pPr>
              <w:jc w:val="center"/>
              <w:ind w:right="511"/>
              <w:spacing w:after="0"/>
              <w:rPr>
                <w:sz w:val="20"/>
                <w:szCs w:val="20"/>
                <w:color w:val="auto"/>
              </w:rPr>
            </w:pPr>
            <w:r>
              <w:rPr>
                <w:rFonts w:ascii="Times New Roman" w:cs="Times New Roman" w:eastAsia="Times New Roman" w:hAnsi="Times New Roman"/>
                <w:sz w:val="18"/>
                <w:szCs w:val="18"/>
                <w:b w:val="1"/>
                <w:bCs w:val="1"/>
                <w:color w:val="auto"/>
                <w:w w:val="97"/>
              </w:rPr>
              <w:t>Rutan &amp; Tucker, LLP</w:t>
            </w:r>
          </w:p>
        </w:tc>
        <w:tc>
          <w:tcPr>
            <w:tcW w:w="4820" w:type="dxa"/>
            <w:vAlign w:val="bottom"/>
          </w:tcPr>
          <w:p>
            <w:pPr>
              <w:jc w:val="center"/>
              <w:ind w:left="2651"/>
              <w:spacing w:after="0"/>
              <w:rPr>
                <w:sz w:val="20"/>
                <w:szCs w:val="20"/>
                <w:color w:val="auto"/>
              </w:rPr>
            </w:pPr>
            <w:r>
              <w:rPr>
                <w:rFonts w:ascii="Times New Roman" w:cs="Times New Roman" w:eastAsia="Times New Roman" w:hAnsi="Times New Roman"/>
                <w:sz w:val="18"/>
                <w:szCs w:val="18"/>
                <w:b w:val="1"/>
                <w:bCs w:val="1"/>
                <w:color w:val="auto"/>
                <w:w w:val="97"/>
              </w:rPr>
              <w:t>LaBarge Weinstein LLP</w:t>
            </w:r>
          </w:p>
        </w:tc>
      </w:tr>
      <w:tr>
        <w:trPr>
          <w:trHeight w:val="214"/>
        </w:trPr>
        <w:tc>
          <w:tcPr>
            <w:tcW w:w="3080" w:type="dxa"/>
            <w:vAlign w:val="bottom"/>
          </w:tcPr>
          <w:p>
            <w:pPr>
              <w:jc w:val="center"/>
              <w:ind w:right="511"/>
              <w:spacing w:after="0"/>
              <w:rPr>
                <w:sz w:val="20"/>
                <w:szCs w:val="20"/>
                <w:color w:val="auto"/>
              </w:rPr>
            </w:pPr>
            <w:r>
              <w:rPr>
                <w:rFonts w:ascii="Times New Roman" w:cs="Times New Roman" w:eastAsia="Times New Roman" w:hAnsi="Times New Roman"/>
                <w:sz w:val="18"/>
                <w:szCs w:val="18"/>
                <w:b w:val="1"/>
                <w:bCs w:val="1"/>
                <w:color w:val="auto"/>
                <w:w w:val="98"/>
              </w:rPr>
              <w:t>18575 Jamboree Road, 9th Floor</w:t>
            </w:r>
          </w:p>
        </w:tc>
        <w:tc>
          <w:tcPr>
            <w:tcW w:w="4820" w:type="dxa"/>
            <w:vAlign w:val="bottom"/>
          </w:tcPr>
          <w:p>
            <w:pPr>
              <w:jc w:val="center"/>
              <w:ind w:left="2651"/>
              <w:spacing w:after="0"/>
              <w:rPr>
                <w:sz w:val="20"/>
                <w:szCs w:val="20"/>
                <w:color w:val="auto"/>
              </w:rPr>
            </w:pPr>
            <w:r>
              <w:rPr>
                <w:rFonts w:ascii="Times New Roman" w:cs="Times New Roman" w:eastAsia="Times New Roman" w:hAnsi="Times New Roman"/>
                <w:sz w:val="18"/>
                <w:szCs w:val="18"/>
                <w:b w:val="1"/>
                <w:bCs w:val="1"/>
                <w:color w:val="auto"/>
                <w:w w:val="98"/>
              </w:rPr>
              <w:t>515 Legget Drive, Suite 800</w:t>
            </w:r>
          </w:p>
        </w:tc>
      </w:tr>
      <w:tr>
        <w:trPr>
          <w:trHeight w:val="214"/>
        </w:trPr>
        <w:tc>
          <w:tcPr>
            <w:tcW w:w="3080" w:type="dxa"/>
            <w:vAlign w:val="bottom"/>
          </w:tcPr>
          <w:p>
            <w:pPr>
              <w:jc w:val="center"/>
              <w:ind w:right="531"/>
              <w:spacing w:after="0"/>
              <w:rPr>
                <w:sz w:val="20"/>
                <w:szCs w:val="20"/>
                <w:color w:val="auto"/>
              </w:rPr>
            </w:pPr>
            <w:r>
              <w:rPr>
                <w:rFonts w:ascii="Times New Roman" w:cs="Times New Roman" w:eastAsia="Times New Roman" w:hAnsi="Times New Roman"/>
                <w:sz w:val="18"/>
                <w:szCs w:val="18"/>
                <w:b w:val="1"/>
                <w:bCs w:val="1"/>
                <w:color w:val="auto"/>
                <w:w w:val="98"/>
              </w:rPr>
              <w:t>Irvine, CA 92612</w:t>
            </w:r>
          </w:p>
        </w:tc>
        <w:tc>
          <w:tcPr>
            <w:tcW w:w="4820" w:type="dxa"/>
            <w:vAlign w:val="bottom"/>
          </w:tcPr>
          <w:p>
            <w:pPr>
              <w:jc w:val="center"/>
              <w:ind w:left="2651"/>
              <w:spacing w:after="0"/>
              <w:rPr>
                <w:sz w:val="20"/>
                <w:szCs w:val="20"/>
                <w:color w:val="auto"/>
              </w:rPr>
            </w:pPr>
            <w:r>
              <w:rPr>
                <w:rFonts w:ascii="Times New Roman" w:cs="Times New Roman" w:eastAsia="Times New Roman" w:hAnsi="Times New Roman"/>
                <w:sz w:val="18"/>
                <w:szCs w:val="18"/>
                <w:b w:val="1"/>
                <w:bCs w:val="1"/>
                <w:color w:val="auto"/>
                <w:w w:val="98"/>
              </w:rPr>
              <w:t>Ottawa, ON K2K 3G4</w:t>
            </w:r>
          </w:p>
        </w:tc>
      </w:tr>
      <w:tr>
        <w:trPr>
          <w:trHeight w:val="237"/>
        </w:trPr>
        <w:tc>
          <w:tcPr>
            <w:tcW w:w="3080" w:type="dxa"/>
            <w:vAlign w:val="bottom"/>
          </w:tcPr>
          <w:p>
            <w:pPr>
              <w:jc w:val="center"/>
              <w:ind w:right="511"/>
              <w:spacing w:after="0"/>
              <w:rPr>
                <w:sz w:val="20"/>
                <w:szCs w:val="20"/>
                <w:color w:val="auto"/>
              </w:rPr>
            </w:pPr>
            <w:r>
              <w:rPr>
                <w:rFonts w:ascii="Times New Roman" w:cs="Times New Roman" w:eastAsia="Times New Roman" w:hAnsi="Times New Roman"/>
                <w:sz w:val="18"/>
                <w:szCs w:val="18"/>
                <w:b w:val="1"/>
                <w:bCs w:val="1"/>
                <w:color w:val="auto"/>
                <w:w w:val="99"/>
              </w:rPr>
              <w:t>(714) 641-5100</w:t>
            </w:r>
          </w:p>
        </w:tc>
        <w:tc>
          <w:tcPr>
            <w:tcW w:w="4820" w:type="dxa"/>
            <w:vAlign w:val="bottom"/>
          </w:tcPr>
          <w:p>
            <w:pPr>
              <w:jc w:val="center"/>
              <w:ind w:left="2651"/>
              <w:spacing w:after="0"/>
              <w:rPr>
                <w:sz w:val="20"/>
                <w:szCs w:val="20"/>
                <w:color w:val="auto"/>
              </w:rPr>
            </w:pPr>
            <w:r>
              <w:rPr>
                <w:rFonts w:ascii="Times New Roman" w:cs="Times New Roman" w:eastAsia="Times New Roman" w:hAnsi="Times New Roman"/>
                <w:sz w:val="18"/>
                <w:szCs w:val="18"/>
                <w:b w:val="1"/>
                <w:bCs w:val="1"/>
                <w:color w:val="auto"/>
                <w:w w:val="99"/>
              </w:rPr>
              <w:t>(613) 599-9600</w:t>
            </w:r>
          </w:p>
        </w:tc>
      </w:tr>
    </w:tbl>
    <w:p>
      <w:pPr>
        <w:spacing w:after="0" w:line="191" w:lineRule="exact"/>
        <w:rPr>
          <w:sz w:val="24"/>
          <w:szCs w:val="24"/>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6" w:lineRule="exact"/>
        <w:rPr>
          <w:sz w:val="24"/>
          <w:szCs w:val="24"/>
          <w:color w:val="auto"/>
        </w:rPr>
      </w:pPr>
    </w:p>
    <w:tbl>
      <w:tblPr>
        <w:tblLayout w:type="fixed"/>
        <w:tblInd w:w="0" w:type="dxa"/>
        <w:tblCellMar>
          <w:top w:w="0" w:type="dxa"/>
          <w:left w:w="0" w:type="dxa"/>
          <w:bottom w:w="0" w:type="dxa"/>
          <w:right w:w="0" w:type="dxa"/>
        </w:tblCellMar>
      </w:tblPr>
      <w:tr>
        <w:trPr>
          <w:trHeight w:val="301"/>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4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rPr>
              <w:t>☐</w:t>
            </w:r>
          </w:p>
        </w:tc>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Accelerated filer</w:t>
            </w:r>
          </w:p>
        </w:tc>
        <w:tc>
          <w:tcPr>
            <w:tcW w:w="200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99"/>
              </w:rPr>
              <w:t>☐</w:t>
            </w:r>
          </w:p>
        </w:tc>
      </w:tr>
      <w:tr>
        <w:trPr>
          <w:trHeight w:val="38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40" w:type="dxa"/>
            <w:vAlign w:val="bottom"/>
          </w:tcPr>
          <w:p>
            <w:pPr>
              <w:ind w:left="1460"/>
              <w:spacing w:after="0"/>
              <w:rPr>
                <w:sz w:val="20"/>
                <w:szCs w:val="20"/>
                <w:color w:val="auto"/>
              </w:rPr>
            </w:pPr>
            <w:r>
              <w:rPr>
                <w:rFonts w:ascii="Wingdings" w:cs="Wingdings" w:eastAsia="Wingdings" w:hAnsi="Wingdings"/>
                <w:sz w:val="18"/>
                <w:szCs w:val="18"/>
                <w:b w:val="1"/>
                <w:bCs w:val="1"/>
                <w:color w:val="auto"/>
              </w:rPr>
              <w:t>x</w:t>
            </w:r>
          </w:p>
        </w:tc>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000" w:type="dxa"/>
            <w:vAlign w:val="bottom"/>
          </w:tcPr>
          <w:p>
            <w:pPr>
              <w:ind w:left="1800"/>
              <w:spacing w:after="0"/>
              <w:rPr>
                <w:sz w:val="20"/>
                <w:szCs w:val="20"/>
                <w:color w:val="auto"/>
              </w:rPr>
            </w:pPr>
            <w:r>
              <w:rPr>
                <w:rFonts w:ascii="Wingdings" w:cs="Wingdings" w:eastAsia="Wingdings" w:hAnsi="Wingdings"/>
                <w:sz w:val="18"/>
                <w:szCs w:val="18"/>
                <w:b w:val="1"/>
                <w:bCs w:val="1"/>
                <w:color w:val="auto"/>
                <w:w w:val="94"/>
              </w:rPr>
              <w:t>x</w:t>
            </w:r>
          </w:p>
        </w:tc>
      </w:tr>
      <w:tr>
        <w:trPr>
          <w:trHeight w:val="469"/>
        </w:trPr>
        <w:tc>
          <w:tcPr>
            <w:tcW w:w="30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Emerging growth company</w:t>
            </w:r>
          </w:p>
        </w:tc>
        <w:tc>
          <w:tcPr>
            <w:tcW w:w="200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99"/>
              </w:rPr>
              <w:t>☐</w:t>
            </w:r>
          </w:p>
        </w:tc>
      </w:tr>
    </w:tbl>
    <w:p>
      <w:pPr>
        <w:spacing w:after="0" w:line="153" w:lineRule="exact"/>
        <w:rPr>
          <w:sz w:val="24"/>
          <w:szCs w:val="24"/>
          <w:color w:val="auto"/>
        </w:rPr>
      </w:pPr>
    </w:p>
    <w:p>
      <w:pPr>
        <w:ind w:right="40" w:firstLine="45"/>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133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177165</wp:posOffset>
            </wp:positionV>
            <wp:extent cx="71335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482600</wp:posOffset>
            </wp:positionV>
            <wp:extent cx="71335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464"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Registration Statement registers the offer and sale of an additional 1,500,000 common shares, no par value (the “Common Shares”) of Fennec Pharmaceuticals Inc. (the “Company”, the “Registrant”, “Fennec”, “we”, “us” or “our”), pursuant to the Company’s 2020 Equity Incentive Plan, (as amended, the “Plan”). The additional Common Shares covered by this Registration Statement were approved for issuance by the Company’s shareholders at the Company’s Annual General Meeting of Shareholders held on June 10, 2026. The Company has previously filed a registration statement on Form S-8 with respect to the Common Shares originally authorized for issuance prior to the approval of the amendment to the Plan. Accordingly, pursuant to General Instruction E to Form S-8, the contents of the earlier registration statement on Form S-8 filed with the U.S. Securities and Exchange Commission on November 18, 2025 (Registration Number 333-291616) are incorporated herein by reference and made part of this Registration Statement, except as modified hereby.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documents, which the Company has filed with the Commission are incorporated herein by reference:</w:t>
      </w:r>
    </w:p>
    <w:p>
      <w:pPr>
        <w:spacing w:after="0" w:line="220" w:lineRule="exact"/>
        <w:rPr>
          <w:sz w:val="20"/>
          <w:szCs w:val="20"/>
          <w:color w:val="auto"/>
        </w:rPr>
      </w:pPr>
    </w:p>
    <w:p>
      <w:pPr>
        <w:ind w:left="820" w:hanging="172"/>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3">
        <w:r>
          <w:rPr>
            <w:rFonts w:ascii="Times New Roman" w:cs="Times New Roman" w:eastAsia="Times New Roman" w:hAnsi="Times New Roman"/>
            <w:sz w:val="18"/>
            <w:szCs w:val="18"/>
            <w:u w:val="single" w:color="auto"/>
            <w:color w:val="0000EE"/>
          </w:rPr>
          <w:t>Form 10-K for the year ended December 31, 2025 (the “Form 10-K”), filed with the Commission on March 27, 2026</w:t>
        </w:r>
      </w:hyperlink>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18"/>
          <w:szCs w:val="18"/>
          <w:color w:val="auto"/>
        </w:rPr>
      </w:pPr>
    </w:p>
    <w:p>
      <w:pPr>
        <w:ind w:firstLine="648"/>
        <w:spacing w:after="0" w:line="277" w:lineRule="auto"/>
        <w:tabs>
          <w:tab w:leader="none" w:pos="826" w:val="left"/>
        </w:tabs>
        <w:numPr>
          <w:ilvl w:val="0"/>
          <w:numId w:val="1"/>
        </w:numPr>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auto"/>
          </w:rPr>
          <w:t xml:space="preserve">the information specifically incorporated by reference into our Form 10-K from our </w:t>
        </w:r>
        <w:r>
          <w:rPr>
            <w:rFonts w:ascii="Times New Roman" w:cs="Times New Roman" w:eastAsia="Times New Roman" w:hAnsi="Times New Roman"/>
            <w:sz w:val="18"/>
            <w:szCs w:val="18"/>
            <w:u w:val="single" w:color="auto"/>
            <w:color w:val="0000EE"/>
          </w:rPr>
          <w:t>Definitive Proxy Statement on Schedule 14A, filed with the</w:t>
        </w:r>
      </w:hyperlink>
      <w:r>
        <w:rPr>
          <w:rFonts w:ascii="Times New Roman" w:cs="Times New Roman" w:eastAsia="Times New Roman" w:hAnsi="Times New Roman"/>
          <w:sz w:val="18"/>
          <w:szCs w:val="18"/>
          <w:color w:val="auto"/>
        </w:rPr>
        <w:t xml:space="preserve"> </w:t>
      </w:r>
      <w:hyperlink r:id="rId14">
        <w:r>
          <w:rPr>
            <w:rFonts w:ascii="Times New Roman" w:cs="Times New Roman" w:eastAsia="Times New Roman" w:hAnsi="Times New Roman"/>
            <w:sz w:val="18"/>
            <w:szCs w:val="18"/>
            <w:u w:val="single" w:color="auto"/>
            <w:color w:val="0000EE"/>
          </w:rPr>
          <w:t>Commission on April 28, 2026</w:t>
        </w:r>
        <w:r>
          <w:rPr>
            <w:rFonts w:ascii="Times New Roman" w:cs="Times New Roman" w:eastAsia="Times New Roman" w:hAnsi="Times New Roman"/>
            <w:sz w:val="18"/>
            <w:szCs w:val="18"/>
            <w:color w:val="000000"/>
          </w:rPr>
          <w:t>;</w:t>
        </w:r>
      </w:hyperlink>
    </w:p>
    <w:p>
      <w:pPr>
        <w:spacing w:after="0" w:line="163" w:lineRule="exact"/>
        <w:rPr>
          <w:rFonts w:ascii="Times New Roman" w:cs="Times New Roman" w:eastAsia="Times New Roman" w:hAnsi="Times New Roman"/>
          <w:sz w:val="18"/>
          <w:szCs w:val="18"/>
          <w:color w:val="0000EE"/>
        </w:rPr>
      </w:pPr>
    </w:p>
    <w:p>
      <w:pPr>
        <w:ind w:left="820" w:hanging="172"/>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15">
        <w:r>
          <w:rPr>
            <w:rFonts w:ascii="Times New Roman" w:cs="Times New Roman" w:eastAsia="Times New Roman" w:hAnsi="Times New Roman"/>
            <w:sz w:val="18"/>
            <w:szCs w:val="18"/>
            <w:u w:val="single" w:color="auto"/>
            <w:color w:val="0000EE"/>
          </w:rPr>
          <w:t>Form 10-Q for the quarter ended March 31, 2026, filed with the Commission on May 14, 2026</w:t>
        </w:r>
      </w:hyperlink>
      <w:r>
        <w:rPr>
          <w:rFonts w:ascii="Times New Roman" w:cs="Times New Roman" w:eastAsia="Times New Roman" w:hAnsi="Times New Roman"/>
          <w:sz w:val="18"/>
          <w:szCs w:val="18"/>
          <w:color w:val="auto"/>
        </w:rPr>
        <w:t>;</w:t>
      </w:r>
    </w:p>
    <w:p>
      <w:pPr>
        <w:spacing w:after="0" w:line="220" w:lineRule="exact"/>
        <w:rPr>
          <w:rFonts w:ascii="Times New Roman" w:cs="Times New Roman" w:eastAsia="Times New Roman" w:hAnsi="Times New Roman"/>
          <w:sz w:val="18"/>
          <w:szCs w:val="18"/>
          <w:color w:val="auto"/>
        </w:rPr>
      </w:pPr>
    </w:p>
    <w:p>
      <w:pPr>
        <w:ind w:firstLine="648"/>
        <w:spacing w:after="0" w:line="277" w:lineRule="auto"/>
        <w:tabs>
          <w:tab w:leader="none" w:pos="82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Commission on </w:t>
      </w:r>
      <w:hyperlink r:id="rId16">
        <w:r>
          <w:rPr>
            <w:rFonts w:ascii="Times New Roman" w:cs="Times New Roman" w:eastAsia="Times New Roman" w:hAnsi="Times New Roman"/>
            <w:sz w:val="18"/>
            <w:szCs w:val="18"/>
            <w:u w:val="single" w:color="auto"/>
            <w:color w:val="0000EE"/>
          </w:rPr>
          <w:t>April 28, 2026</w:t>
        </w:r>
      </w:hyperlink>
      <w:r>
        <w:rPr>
          <w:rFonts w:ascii="Times New Roman" w:cs="Times New Roman" w:eastAsia="Times New Roman" w:hAnsi="Times New Roman"/>
          <w:sz w:val="18"/>
          <w:szCs w:val="18"/>
          <w:color w:val="auto"/>
        </w:rPr>
        <w:t xml:space="preserve">, </w:t>
      </w:r>
      <w:hyperlink r:id="rId17">
        <w:r>
          <w:rPr>
            <w:rFonts w:ascii="Times New Roman" w:cs="Times New Roman" w:eastAsia="Times New Roman" w:hAnsi="Times New Roman"/>
            <w:sz w:val="18"/>
            <w:szCs w:val="18"/>
            <w:u w:val="single" w:color="auto"/>
            <w:color w:val="0000EE"/>
          </w:rPr>
          <w:t>May 18, 2026</w:t>
        </w:r>
      </w:hyperlink>
      <w:r>
        <w:rPr>
          <w:rFonts w:ascii="Times New Roman" w:cs="Times New Roman" w:eastAsia="Times New Roman" w:hAnsi="Times New Roman"/>
          <w:sz w:val="18"/>
          <w:szCs w:val="18"/>
          <w:color w:val="auto"/>
        </w:rPr>
        <w:t xml:space="preserve">, and </w:t>
      </w:r>
      <w:hyperlink r:id="rId18">
        <w:r>
          <w:rPr>
            <w:rFonts w:ascii="Times New Roman" w:cs="Times New Roman" w:eastAsia="Times New Roman" w:hAnsi="Times New Roman"/>
            <w:sz w:val="18"/>
            <w:szCs w:val="18"/>
            <w:u w:val="single" w:color="auto"/>
            <w:color w:val="0000EE"/>
          </w:rPr>
          <w:t>June 10,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only to the extent filed and not furnished; and</w:t>
      </w:r>
    </w:p>
    <w:p>
      <w:pPr>
        <w:spacing w:after="0" w:line="163" w:lineRule="exact"/>
        <w:rPr>
          <w:rFonts w:ascii="Times New Roman" w:cs="Times New Roman" w:eastAsia="Times New Roman" w:hAnsi="Times New Roman"/>
          <w:sz w:val="18"/>
          <w:szCs w:val="18"/>
          <w:color w:val="auto"/>
        </w:rPr>
      </w:pPr>
    </w:p>
    <w:p>
      <w:pPr>
        <w:ind w:firstLine="648"/>
        <w:spacing w:after="0" w:line="277" w:lineRule="auto"/>
        <w:tabs>
          <w:tab w:leader="none" w:pos="83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capital stock contained in our Registration Statement on </w:t>
      </w:r>
      <w:hyperlink r:id="rId19">
        <w:r>
          <w:rPr>
            <w:rFonts w:ascii="Times New Roman" w:cs="Times New Roman" w:eastAsia="Times New Roman" w:hAnsi="Times New Roman"/>
            <w:sz w:val="18"/>
            <w:szCs w:val="18"/>
            <w:u w:val="single" w:color="auto"/>
            <w:color w:val="0000EE"/>
          </w:rPr>
          <w:t>Form 8-A filed with the Commission on September 11, 2017</w:t>
        </w:r>
      </w:hyperlink>
      <w:r>
        <w:rPr>
          <w:rFonts w:ascii="Times New Roman" w:cs="Times New Roman" w:eastAsia="Times New Roman" w:hAnsi="Times New Roman"/>
          <w:sz w:val="18"/>
          <w:szCs w:val="18"/>
          <w:color w:val="auto"/>
        </w:rPr>
        <w:t>, including any amendment or report filed with the Commission for the purpose of updating such description.</w:t>
      </w:r>
    </w:p>
    <w:p>
      <w:pPr>
        <w:spacing w:after="0" w:line="163" w:lineRule="exact"/>
        <w:rPr>
          <w:rFonts w:ascii="Times New Roman" w:cs="Times New Roman" w:eastAsia="Times New Roman" w:hAnsi="Times New Roman"/>
          <w:sz w:val="18"/>
          <w:szCs w:val="18"/>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In addition, all documents that we may file in the future pursuant to Sections 13(a), 13(c), 14 or 15(d) of the Exchange Act, after the date of this Registration Statement and prior to the filing of a post-effective amendment to this Registration Statement which indicates that all securities offered hereby have been sold or which deregisters all securities then remaining unsold will be deemed to be incorporated by reference in this Registration Statement. We will deem all of these documents to be a part of this Registration Statement from the respective dates of filing these documents.</w:t>
      </w:r>
    </w:p>
    <w:p>
      <w:pPr>
        <w:spacing w:after="0" w:line="182" w:lineRule="exact"/>
        <w:rPr>
          <w:rFonts w:ascii="Times New Roman" w:cs="Times New Roman" w:eastAsia="Times New Roman" w:hAnsi="Times New Roman"/>
          <w:sz w:val="18"/>
          <w:szCs w:val="18"/>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We further regard any statement contained in a document that is incorporated by reference in this Registration Statement to be modified or superseded if this Registration Statement, or some other subsequently filed document that is also incorporated by reference in this Registration Statement, modifies or supersedes the statement. If this occurs, we regard the statement to be incorporated in this Registration Statement by reference only in the statement’s modified or superseded form.</w:t>
      </w:r>
    </w:p>
    <w:p>
      <w:pPr>
        <w:spacing w:after="0" w:line="178"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20"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Corporations Act (British Columbia)</w:t>
      </w:r>
    </w:p>
    <w:p>
      <w:pPr>
        <w:spacing w:after="0" w:line="224" w:lineRule="exact"/>
        <w:rPr>
          <w:rFonts w:ascii="Times New Roman" w:cs="Times New Roman" w:eastAsia="Times New Roman" w:hAnsi="Times New Roman"/>
          <w:sz w:val="18"/>
          <w:szCs w:val="18"/>
          <w:color w:val="auto"/>
        </w:rPr>
      </w:pPr>
    </w:p>
    <w:p>
      <w:pPr>
        <w:jc w:val="both"/>
        <w:ind w:firstLine="641"/>
        <w:spacing w:after="0" w:line="285" w:lineRule="auto"/>
        <w:rPr>
          <w:sz w:val="20"/>
          <w:szCs w:val="20"/>
          <w:color w:val="auto"/>
        </w:rPr>
      </w:pPr>
      <w:r>
        <w:rPr>
          <w:rFonts w:ascii="Times New Roman" w:cs="Times New Roman" w:eastAsia="Times New Roman" w:hAnsi="Times New Roman"/>
          <w:sz w:val="17"/>
          <w:szCs w:val="17"/>
          <w:color w:val="auto"/>
        </w:rPr>
        <w:t>Division 5 of Part 5 of the Business Corporations Act (British Columbia) provides that a corporation may (a) indemnify an eligible party against all eligible penalties to which the eligible party is or may be liable and (b) after the final disposition of an eligible proceeding, pay the expenses (not including judgments, penalties, fines or amounts paid in settlement of a proceeding) actually and reasonably incurred by an eligible party in respect of that proceeding.</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4445</wp:posOffset>
            </wp:positionH>
            <wp:positionV relativeFrom="paragraph">
              <wp:posOffset>400685</wp:posOffset>
            </wp:positionV>
            <wp:extent cx="71335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2" w:name="page3"/>
    <w:bookmarkEnd w:id="2"/>
    <w:p>
      <w:pPr>
        <w:jc w:val="both"/>
        <w:ind w:firstLine="641"/>
        <w:spacing w:after="0" w:line="285" w:lineRule="auto"/>
        <w:rPr>
          <w:sz w:val="20"/>
          <w:szCs w:val="20"/>
          <w:color w:val="auto"/>
        </w:rPr>
      </w:pPr>
      <w:r>
        <w:rPr>
          <w:rFonts w:ascii="Times New Roman" w:cs="Times New Roman" w:eastAsia="Times New Roman" w:hAnsi="Times New Roman"/>
          <w:sz w:val="17"/>
          <w:szCs w:val="17"/>
          <w:color w:val="auto"/>
        </w:rPr>
        <w:t>An “eligible party” means an individual who (a) is or was a director or officer of the corporation, (b) is or was a director or officer of another corporation (i) at a time when the other corporation is or was an affiliate of the corporation, or (ii) at the request of the corporation, or (c) at the request of the corporation, is or was, or holds or held a position equivalent to that of, a director or officer of a partnership, trust, joint venture or other unincorporated entity.</w:t>
      </w:r>
    </w:p>
    <w:p>
      <w:pPr>
        <w:spacing w:after="0" w:line="159" w:lineRule="exact"/>
        <w:rPr>
          <w:sz w:val="20"/>
          <w:szCs w:val="20"/>
          <w:color w:val="auto"/>
        </w:rPr>
      </w:pPr>
    </w:p>
    <w:p>
      <w:pPr>
        <w:jc w:val="both"/>
        <w:ind w:firstLine="641"/>
        <w:spacing w:after="0" w:line="257" w:lineRule="auto"/>
        <w:rPr>
          <w:sz w:val="20"/>
          <w:szCs w:val="20"/>
          <w:color w:val="auto"/>
        </w:rPr>
      </w:pPr>
      <w:r>
        <w:rPr>
          <w:rFonts w:ascii="Times New Roman" w:cs="Times New Roman" w:eastAsia="Times New Roman" w:hAnsi="Times New Roman"/>
          <w:sz w:val="18"/>
          <w:szCs w:val="18"/>
          <w:color w:val="auto"/>
        </w:rPr>
        <w:t>An “eligible proceeding” means a proceeding in which an eligible party or any of the heirs and personal or other legal representatives of the eligible party, by reason of the eligible party being or having been a director or officer of, or holding or having held a position equivalent to that of a director or officer of, the corporation or an associated corporation (a) is or may be joined as a party, or (b) is or may be liable for or in respect of a judgment, penalty or fine in, or expenses related to, the proceeding.</w:t>
      </w:r>
    </w:p>
    <w:p>
      <w:pPr>
        <w:spacing w:after="0" w:line="182"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A corporation must, after the final disposition of an eligible proceeding, pay the expenses actually and reasonably incurred by the eligible party in respect of that proceeding if the eligible party (a) has not been reimbursed for those expenses, and (b) is wholly successful, on the merits or otherwise, in the outcome of the proceeding or is substantially successful on the merits in the outcome of the proceeding.</w:t>
      </w:r>
    </w:p>
    <w:p>
      <w:pPr>
        <w:spacing w:after="0" w:line="177"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A corporation may pay, as they are incurred in advance of the final disposition of an eligible proceeding, the expenses actually and reasonably incurred by an eligible party in respect of that proceeding, provided the corporation first receives from the eligible party a written undertaking that, if it is ultimately determined that the payment of expenses is prohibited, the eligible party will repay the amounts advanced.</w:t>
      </w:r>
    </w:p>
    <w:p>
      <w:pPr>
        <w:spacing w:after="0" w:line="177"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Notwithstanding any of the foregoing, a corporation must not indemnify an eligible party or pay the expenses of an eligible party if any of the following circumstances apply:</w:t>
      </w:r>
    </w:p>
    <w:p>
      <w:pPr>
        <w:spacing w:after="0" w:line="163" w:lineRule="exact"/>
        <w:rPr>
          <w:sz w:val="20"/>
          <w:szCs w:val="20"/>
          <w:color w:val="auto"/>
        </w:rPr>
      </w:pPr>
    </w:p>
    <w:p>
      <w:pPr>
        <w:ind w:left="380" w:hanging="320"/>
        <w:spacing w:after="0" w:line="276" w:lineRule="auto"/>
        <w:tabs>
          <w:tab w:leader="none" w:pos="38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if the indemnity or payment is made under an earlier agreement to indemnify or pay expenses and, at the time that the agreement to indemnify or pay expenses was made, the corporation was prohibited from giving the indemnity or paying the expenses by its memorandum or articles;</w:t>
      </w:r>
    </w:p>
    <w:p>
      <w:pPr>
        <w:spacing w:after="0" w:line="164" w:lineRule="exact"/>
        <w:rPr>
          <w:rFonts w:ascii="Arial" w:cs="Arial" w:eastAsia="Arial" w:hAnsi="Arial"/>
          <w:sz w:val="18"/>
          <w:szCs w:val="18"/>
          <w:b w:val="1"/>
          <w:bCs w:val="1"/>
          <w:color w:val="auto"/>
        </w:rPr>
      </w:pPr>
    </w:p>
    <w:p>
      <w:pPr>
        <w:ind w:left="380" w:hanging="320"/>
        <w:spacing w:after="0" w:line="276" w:lineRule="auto"/>
        <w:tabs>
          <w:tab w:leader="none" w:pos="38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if the indemnity or payment is made otherwise than under an earlier agreement to indemnify or pay expenses and, at the time that the indemnity or payment is made, the corporation is prohibited from giving the indemnity or paying the expenses by its memorandum or articles;</w:t>
      </w:r>
    </w:p>
    <w:p>
      <w:pPr>
        <w:spacing w:after="0" w:line="164" w:lineRule="exact"/>
        <w:rPr>
          <w:rFonts w:ascii="Arial" w:cs="Arial" w:eastAsia="Arial" w:hAnsi="Arial"/>
          <w:sz w:val="18"/>
          <w:szCs w:val="18"/>
          <w:b w:val="1"/>
          <w:bCs w:val="1"/>
          <w:color w:val="auto"/>
        </w:rPr>
      </w:pPr>
    </w:p>
    <w:p>
      <w:pPr>
        <w:ind w:left="380" w:hanging="320"/>
        <w:spacing w:after="0" w:line="276" w:lineRule="auto"/>
        <w:tabs>
          <w:tab w:leader="none" w:pos="38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if, in relation to the subject matter of the eligible proceeding, the eligible party did not act honestly and in good faith with a view to the best interests of the corporation or the associated corporation, as the case may be;</w:t>
      </w:r>
    </w:p>
    <w:p>
      <w:pPr>
        <w:spacing w:after="0" w:line="164" w:lineRule="exact"/>
        <w:rPr>
          <w:rFonts w:ascii="Arial" w:cs="Arial" w:eastAsia="Arial" w:hAnsi="Arial"/>
          <w:sz w:val="18"/>
          <w:szCs w:val="18"/>
          <w:b w:val="1"/>
          <w:bCs w:val="1"/>
          <w:color w:val="auto"/>
        </w:rPr>
      </w:pPr>
    </w:p>
    <w:p>
      <w:pPr>
        <w:ind w:left="380" w:hanging="320"/>
        <w:spacing w:after="0" w:line="276" w:lineRule="auto"/>
        <w:tabs>
          <w:tab w:leader="none" w:pos="38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 the case of an eligible proceeding other than a civil proceeding, if the eligible party did not have reasonable grounds for believing that the eligible party’s conduct in respect of which the proceeding was brought was lawful.</w:t>
      </w:r>
    </w:p>
    <w:p>
      <w:pPr>
        <w:spacing w:after="0" w:line="164" w:lineRule="exact"/>
        <w:rPr>
          <w:sz w:val="20"/>
          <w:szCs w:val="20"/>
          <w:color w:val="auto"/>
        </w:rPr>
      </w:pPr>
    </w:p>
    <w:p>
      <w:pPr>
        <w:ind w:firstLine="641"/>
        <w:spacing w:after="0" w:line="277" w:lineRule="auto"/>
        <w:rPr>
          <w:sz w:val="20"/>
          <w:szCs w:val="20"/>
          <w:color w:val="auto"/>
        </w:rPr>
      </w:pPr>
      <w:r>
        <w:rPr>
          <w:rFonts w:ascii="Times New Roman" w:cs="Times New Roman" w:eastAsia="Times New Roman" w:hAnsi="Times New Roman"/>
          <w:sz w:val="18"/>
          <w:szCs w:val="18"/>
          <w:color w:val="auto"/>
        </w:rPr>
        <w:t>If an eligible proceeding is brought against an eligible party by or on behalf of the corporation or by or on behalf of an associated corporation, the corporation must not (a) indemnify the eligible party in respect of the proceeding or (b) pay the expenses of the eligible party in respect of the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403860</wp:posOffset>
            </wp:positionV>
            <wp:extent cx="71335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3" w:name="page4"/>
    <w:bookmarkEnd w:id="3"/>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A corporation may purchase and maintain insurance for the benefit of an eligible party or the heirs and personal or other legal representatives of the eligible party against any liability that may be incurred by reason of the eligible party being or having been a director or officer of, or holding or having held a position equivalent to that of a director or officer of, the corporation or an associated corporation.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Articles</w:t>
      </w:r>
    </w:p>
    <w:p>
      <w:pPr>
        <w:spacing w:after="0" w:line="222" w:lineRule="exact"/>
        <w:rPr>
          <w:sz w:val="20"/>
          <w:szCs w:val="20"/>
          <w:color w:val="auto"/>
        </w:rPr>
      </w:pPr>
    </w:p>
    <w:p>
      <w:pPr>
        <w:jc w:val="both"/>
        <w:ind w:firstLine="641"/>
        <w:spacing w:after="0" w:line="255" w:lineRule="auto"/>
        <w:rPr>
          <w:sz w:val="20"/>
          <w:szCs w:val="20"/>
          <w:color w:val="auto"/>
        </w:rPr>
      </w:pPr>
      <w:r>
        <w:rPr>
          <w:rFonts w:ascii="Times New Roman" w:cs="Times New Roman" w:eastAsia="Times New Roman" w:hAnsi="Times New Roman"/>
          <w:sz w:val="18"/>
          <w:szCs w:val="18"/>
          <w:color w:val="auto"/>
        </w:rPr>
        <w:t xml:space="preserve">Our Articles provide that, subject to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(British Columbia), the Company must indemnify an eligible party and their respective heirs and personal or other legal representatives against all eligible penalties to which such eligible party is or may be liable. The Company must, after the final disposition of an eligible proceeding, pay the expenses actually and reasonably incurred by such person in respect of that proceeding. Each eligible party is deemed to have contracted with the Company on this term. The Articles also provide that the Company may indemnify any person, subject to any restrictions in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(British Columbia).</w:t>
      </w:r>
    </w:p>
    <w:p>
      <w:pPr>
        <w:spacing w:after="0" w:line="185" w:lineRule="exact"/>
        <w:rPr>
          <w:sz w:val="20"/>
          <w:szCs w:val="20"/>
          <w:color w:val="auto"/>
        </w:rPr>
      </w:pPr>
    </w:p>
    <w:p>
      <w:pPr>
        <w:jc w:val="both"/>
        <w:ind w:firstLine="641"/>
        <w:spacing w:after="0" w:line="253" w:lineRule="auto"/>
        <w:rPr>
          <w:sz w:val="20"/>
          <w:szCs w:val="20"/>
          <w:color w:val="auto"/>
        </w:rPr>
      </w:pPr>
      <w:r>
        <w:rPr>
          <w:rFonts w:ascii="Times New Roman" w:cs="Times New Roman" w:eastAsia="Times New Roman" w:hAnsi="Times New Roman"/>
          <w:sz w:val="18"/>
          <w:szCs w:val="18"/>
          <w:color w:val="auto"/>
        </w:rPr>
        <w:t xml:space="preserve">Our Articles defines the following terms: (1) an “eligible penalty” means a judgment, penalty or fine awarded or imposed in, or an amount paid in settlement of, an “eligible proceeding”; (2) an “eligible party” means a director, former director or alternate director of the Company; (3) an “eligible proceeding” means a legal proceeding or investigative action (whether current, threatened, pending or completed), in which an eligible party or any of the heirs and personal or other legal representatives of the eligible party, by reason of the eligible party being or having been a director or alternate director of the Company (a) is or may be joined as a party, or (b) is or may be liable for or in respect of a judgment, penalty or fine in, or expenses related to, the proceeding; and (4) “expenses” has the meaning set out in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(British Columbia).</w:t>
      </w:r>
    </w:p>
    <w:p>
      <w:pPr>
        <w:spacing w:after="0" w:line="187" w:lineRule="exact"/>
        <w:rPr>
          <w:sz w:val="20"/>
          <w:szCs w:val="20"/>
          <w:color w:val="auto"/>
        </w:rPr>
      </w:pPr>
    </w:p>
    <w:p>
      <w:pPr>
        <w:jc w:val="both"/>
        <w:ind w:firstLine="641"/>
        <w:spacing w:after="0" w:line="255" w:lineRule="auto"/>
        <w:rPr>
          <w:sz w:val="20"/>
          <w:szCs w:val="20"/>
          <w:color w:val="auto"/>
        </w:rPr>
      </w:pPr>
      <w:r>
        <w:rPr>
          <w:rFonts w:ascii="Times New Roman" w:cs="Times New Roman" w:eastAsia="Times New Roman" w:hAnsi="Times New Roman"/>
          <w:sz w:val="18"/>
          <w:szCs w:val="18"/>
          <w:color w:val="auto"/>
        </w:rPr>
        <w:t>Our Articles provide that the Company may purchase and maintain insurance for the benefit of any person (or his or her heirs or legal personal representatives) who is or was a director, alternative director, officer, employee or agent, or held or holds such position or a position equivalent to the foregoing (each, an “insured party”) with respect to (i) the Company; (ii) a corporation at a time when the corporation was an affiliate of the Company;</w:t>
      </w:r>
    </w:p>
    <w:p>
      <w:pPr>
        <w:ind w:firstLine="7"/>
        <w:spacing w:after="0" w:line="255" w:lineRule="auto"/>
        <w:tabs>
          <w:tab w:leader="none" w:pos="33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request of the Company, served in such capacity with respect to a corporation, partnership, trust, joint venture or other unincorporated entity, against any liability that may be incurred by him or her acting in such capacity</w:t>
      </w:r>
      <w:r>
        <w:rPr>
          <w:rFonts w:ascii="Times New Roman" w:cs="Times New Roman" w:eastAsia="Times New Roman" w:hAnsi="Times New Roman"/>
          <w:sz w:val="18"/>
          <w:szCs w:val="18"/>
          <w:b w:val="1"/>
          <w:bCs w:val="1"/>
          <w:color w:val="auto"/>
        </w:rPr>
        <w:t>.</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maintain liability insurance policies regarding our directors and officers against certain liabilities that they may incur in such capacities.</w:t>
      </w:r>
    </w:p>
    <w:p>
      <w:pPr>
        <w:spacing w:after="0" w:line="220"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us pursuant to the foregoing provisions, we have been informed that in the opinion of the Commission such indemnification is against public policy as expressed in the Securities Act and is therefore unenforceable.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440055</wp:posOffset>
            </wp:positionV>
            <wp:extent cx="71335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0" w:type="dxa"/>
            <w:vAlign w:val="bottom"/>
            <w:tcBorders>
              <w:top w:val="single" w:sz="8" w:color="auto"/>
              <w:right w:val="single" w:sz="8" w:color="CCEEFF"/>
            </w:tcBorders>
            <w:gridSpan w:val="2"/>
            <w:shd w:val="clear" w:color="auto" w:fill="CCEEFF"/>
          </w:tcPr>
          <w:p>
            <w:pPr>
              <w:spacing w:after="0" w:line="174"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auto"/>
            </w:tcBorders>
            <w:gridSpan w:val="12"/>
            <w:shd w:val="clear" w:color="auto" w:fill="CCEEFF"/>
          </w:tcPr>
          <w:p>
            <w:pPr>
              <w:spacing w:after="0" w:line="174"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Notice of Articles dated August 25, 2011 (incorporated herein by reference to Exhibit 3.2(i) to our Form 8-K filed August 26, 2011).</w:t>
              </w:r>
            </w:hyperlink>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80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7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360" w:type="dxa"/>
            <w:vAlign w:val="bottom"/>
            <w:gridSpan w:val="2"/>
          </w:tcPr>
          <w:p>
            <w:pPr>
              <w:spacing w:after="0" w:line="174"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hyperlink>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00" w:type="dxa"/>
            <w:vAlign w:val="bottom"/>
            <w:gridSpan w:val="12"/>
          </w:tcPr>
          <w:p>
            <w:pPr>
              <w:spacing w:after="0" w:line="174"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Articles dated August 25, 2011 (incorporated herein by reference to Exhibit 3.2(ii) to our Form 8-K filed August 26, 2011).</w:t>
              </w:r>
            </w:hyperlink>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7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360" w:type="dxa"/>
            <w:vAlign w:val="bottom"/>
            <w:tcBorders>
              <w:right w:val="single" w:sz="8" w:color="CCEEFF"/>
            </w:tcBorders>
            <w:gridSpan w:val="2"/>
            <w:shd w:val="clear" w:color="auto" w:fill="CCEEFF"/>
          </w:tcPr>
          <w:p>
            <w:pPr>
              <w:spacing w:after="0" w:line="174"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w:t>
              </w:r>
            </w:hyperlink>
          </w:p>
        </w:tc>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100" w:type="dxa"/>
            <w:vAlign w:val="bottom"/>
            <w:gridSpan w:val="12"/>
            <w:shd w:val="clear" w:color="auto" w:fill="CCEEFF"/>
          </w:tcPr>
          <w:p>
            <w:pPr>
              <w:spacing w:after="0" w:line="174"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Notice of Alteration dated September 3, 2014 (incorporated herein by reference to Exhibit 3.1 to our Form 8-K filed September 9, 2014).</w:t>
              </w:r>
            </w:hyperlink>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80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7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360" w:type="dxa"/>
            <w:vAlign w:val="bottom"/>
            <w:gridSpan w:val="2"/>
          </w:tcPr>
          <w:p>
            <w:pPr>
              <w:spacing w:after="0" w:line="174"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4</w:t>
              </w:r>
            </w:hyperlink>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00" w:type="dxa"/>
            <w:vAlign w:val="bottom"/>
            <w:gridSpan w:val="12"/>
          </w:tcPr>
          <w:p>
            <w:pPr>
              <w:spacing w:after="0" w:line="174"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Shareholder Rights Plan Agreement dated June 27, 2017 between Fennec Pharmaceuticals Inc. and Computershare Trust Company of</w:t>
              </w:r>
            </w:hyperlink>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540" w:type="dxa"/>
            <w:vAlign w:val="bottom"/>
            <w:tcBorders>
              <w:top w:val="single" w:sz="8" w:color="0000EE"/>
            </w:tcBorders>
            <w:gridSpan w:val="10"/>
          </w:tcPr>
          <w:p>
            <w:pPr>
              <w:spacing w:after="0" w:line="194"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Canada (incorporated herein by reference to Schedule B to our Management Proxy Circular filed May 24, 2017).</w:t>
              </w:r>
            </w:hyperlink>
          </w:p>
        </w:tc>
        <w:tc>
          <w:tcPr>
            <w:tcW w:w="5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78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360" w:type="dxa"/>
            <w:vAlign w:val="bottom"/>
            <w:tcBorders>
              <w:right w:val="single" w:sz="8" w:color="CCEEFF"/>
            </w:tcBorders>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1</w:t>
            </w:r>
          </w:p>
        </w:tc>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100" w:type="dxa"/>
            <w:vAlign w:val="bottom"/>
            <w:gridSpan w:val="12"/>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rPr>
              <w:t>Opinion of Counsel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7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1000" w:type="dxa"/>
            <w:vAlign w:val="bottom"/>
            <w:gridSpan w:val="4"/>
          </w:tcPr>
          <w:p>
            <w:pPr>
              <w:spacing w:after="0" w:line="174"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p>
        </w:tc>
        <w:tc>
          <w:tcPr>
            <w:tcW w:w="120" w:type="dxa"/>
            <w:vAlign w:val="bottom"/>
          </w:tcPr>
          <w:p>
            <w:pPr>
              <w:spacing w:after="0"/>
              <w:rPr>
                <w:sz w:val="15"/>
                <w:szCs w:val="15"/>
                <w:color w:val="auto"/>
              </w:rPr>
            </w:pPr>
          </w:p>
        </w:tc>
        <w:tc>
          <w:tcPr>
            <w:tcW w:w="10100" w:type="dxa"/>
            <w:vAlign w:val="bottom"/>
            <w:gridSpan w:val="12"/>
          </w:tcPr>
          <w:p>
            <w:pPr>
              <w:spacing w:after="0" w:line="174" w:lineRule="exact"/>
              <w:rPr>
                <w:sz w:val="20"/>
                <w:szCs w:val="20"/>
                <w:color w:val="auto"/>
              </w:rPr>
            </w:pPr>
            <w:r>
              <w:rPr>
                <w:rFonts w:ascii="Times New Roman" w:cs="Times New Roman" w:eastAsia="Times New Roman" w:hAnsi="Times New Roman"/>
                <w:sz w:val="18"/>
                <w:szCs w:val="18"/>
                <w:color w:val="0000EE"/>
              </w:rPr>
              <w:t>Consent of Counsel (included in Exhibit 5.1)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0" w:type="dxa"/>
            <w:vAlign w:val="bottom"/>
            <w:tcBorders>
              <w:top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400" w:type="dxa"/>
            <w:vAlign w:val="bottom"/>
            <w:tcBorders>
              <w:bottom w:val="single" w:sz="8" w:color="0000EE"/>
            </w:tcBorders>
            <w:gridSpan w:val="3"/>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w w:val="91"/>
              </w:rPr>
              <w:t>+23.</w:t>
            </w:r>
            <w:r>
              <w:rPr>
                <w:rFonts w:ascii="Times New Roman" w:cs="Times New Roman" w:eastAsia="Times New Roman" w:hAnsi="Times New Roman"/>
                <w:sz w:val="18"/>
                <w:szCs w:val="18"/>
                <w:u w:val="single" w:color="auto"/>
                <w:color w:val="0000EE"/>
                <w:w w:val="91"/>
              </w:rPr>
              <w:t>2</w:t>
            </w:r>
          </w:p>
        </w:tc>
        <w:tc>
          <w:tcPr>
            <w:tcW w:w="6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280" w:type="dxa"/>
            <w:vAlign w:val="bottom"/>
            <w:tcBorders>
              <w:bottom w:val="single" w:sz="8" w:color="0000EE"/>
            </w:tcBorders>
            <w:gridSpan w:val="6"/>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w w:val="98"/>
              </w:rPr>
              <w:t>Consent of Independent Registered Public Accounting Firm</w:t>
            </w:r>
          </w:p>
        </w:tc>
        <w:tc>
          <w:tcPr>
            <w:tcW w:w="5820" w:type="dxa"/>
            <w:vAlign w:val="bottom"/>
            <w:tcBorders>
              <w:bottom w:val="single" w:sz="8" w:color="CCEEFF"/>
            </w:tcBorders>
            <w:gridSpan w:val="6"/>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0" w:type="dxa"/>
            <w:vAlign w:val="bottom"/>
            <w:gridSpan w:val="4"/>
          </w:tcPr>
          <w:p>
            <w:pPr>
              <w:spacing w:after="0" w:line="174" w:lineRule="exact"/>
              <w:rPr>
                <w:sz w:val="20"/>
                <w:szCs w:val="20"/>
                <w:color w:val="auto"/>
              </w:rPr>
            </w:pPr>
            <w:r>
              <w:rPr>
                <w:rFonts w:ascii="Times New Roman" w:cs="Times New Roman" w:eastAsia="Times New Roman" w:hAnsi="Times New Roman"/>
                <w:sz w:val="18"/>
                <w:szCs w:val="18"/>
                <w:color w:val="0000EE"/>
              </w:rPr>
              <w:t>+24.</w:t>
            </w:r>
            <w:r>
              <w:rPr>
                <w:rFonts w:ascii="Times New Roman" w:cs="Times New Roman" w:eastAsia="Times New Roman" w:hAnsi="Times New Roman"/>
                <w:sz w:val="18"/>
                <w:szCs w:val="18"/>
                <w:u w:val="single" w:color="auto"/>
                <w:color w:val="0000EE"/>
              </w:rPr>
              <w:t>1</w:t>
            </w:r>
          </w:p>
        </w:tc>
        <w:tc>
          <w:tcPr>
            <w:tcW w:w="120" w:type="dxa"/>
            <w:vAlign w:val="bottom"/>
          </w:tcPr>
          <w:p>
            <w:pPr>
              <w:spacing w:after="0"/>
              <w:rPr>
                <w:sz w:val="15"/>
                <w:szCs w:val="15"/>
                <w:color w:val="auto"/>
              </w:rPr>
            </w:pPr>
          </w:p>
        </w:tc>
        <w:tc>
          <w:tcPr>
            <w:tcW w:w="10100" w:type="dxa"/>
            <w:vAlign w:val="bottom"/>
            <w:gridSpan w:val="12"/>
          </w:tcPr>
          <w:p>
            <w:pPr>
              <w:spacing w:after="0" w:line="174" w:lineRule="exact"/>
              <w:rPr>
                <w:sz w:val="20"/>
                <w:szCs w:val="20"/>
                <w:color w:val="auto"/>
              </w:rPr>
            </w:pPr>
            <w:r>
              <w:rPr>
                <w:rFonts w:ascii="Times New Roman" w:cs="Times New Roman" w:eastAsia="Times New Roman" w:hAnsi="Times New Roman"/>
                <w:sz w:val="18"/>
                <w:szCs w:val="18"/>
                <w:color w:val="0000EE"/>
              </w:rPr>
              <w:t>Power of Attorney (included in the Signature Page hereto)</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400" w:type="dxa"/>
            <w:vAlign w:val="bottom"/>
            <w:tcBorders>
              <w:bottom w:val="single" w:sz="8" w:color="0000EE"/>
            </w:tcBorders>
            <w:gridSpan w:val="3"/>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w w:val="91"/>
              </w:rPr>
              <w:t>+99.</w:t>
            </w:r>
            <w:r>
              <w:rPr>
                <w:rFonts w:ascii="Times New Roman" w:cs="Times New Roman" w:eastAsia="Times New Roman" w:hAnsi="Times New Roman"/>
                <w:sz w:val="18"/>
                <w:szCs w:val="18"/>
                <w:u w:val="single" w:color="auto"/>
                <w:color w:val="0000EE"/>
                <w:w w:val="91"/>
              </w:rPr>
              <w:t>1</w:t>
            </w:r>
          </w:p>
        </w:tc>
        <w:tc>
          <w:tcPr>
            <w:tcW w:w="6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080" w:type="dxa"/>
            <w:vAlign w:val="bottom"/>
            <w:tcBorders>
              <w:bottom w:val="single" w:sz="8" w:color="0000EE"/>
            </w:tcBorders>
            <w:gridSpan w:val="4"/>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EE"/>
                <w:w w:val="98"/>
              </w:rPr>
              <w:t>Fennec Pharmaceuticals Inc. 2020 Equity Incentive Plan.</w:t>
            </w:r>
          </w:p>
        </w:tc>
        <w:tc>
          <w:tcPr>
            <w:tcW w:w="6020" w:type="dxa"/>
            <w:vAlign w:val="bottom"/>
            <w:tcBorders>
              <w:bottom w:val="single" w:sz="8" w:color="CCEEFF"/>
            </w:tcBorders>
            <w:gridSpan w:val="8"/>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color w:val="0000EE"/>
                <w:w w:val="85"/>
              </w:rPr>
              <w:t>+107</w:t>
            </w: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00" w:type="dxa"/>
            <w:vAlign w:val="bottom"/>
            <w:gridSpan w:val="12"/>
          </w:tcPr>
          <w:p>
            <w:pPr>
              <w:spacing w:after="0" w:line="174" w:lineRule="exact"/>
              <w:rPr>
                <w:sz w:val="20"/>
                <w:szCs w:val="20"/>
                <w:color w:val="auto"/>
              </w:rPr>
            </w:pPr>
            <w:r>
              <w:rPr>
                <w:rFonts w:ascii="Times New Roman" w:cs="Times New Roman" w:eastAsia="Times New Roman" w:hAnsi="Times New Roman"/>
                <w:sz w:val="18"/>
                <w:szCs w:val="18"/>
                <w:color w:val="0000EE"/>
              </w:rPr>
              <w:t>Filing Fee Table</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320" w:hanging="313"/>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220" w:lineRule="exact"/>
        <w:rPr>
          <w:sz w:val="20"/>
          <w:szCs w:val="20"/>
          <w:color w:val="auto"/>
        </w:rPr>
      </w:pPr>
    </w:p>
    <w:p>
      <w:pPr>
        <w:ind w:left="1540" w:hanging="251"/>
        <w:spacing w:after="0"/>
        <w:tabs>
          <w:tab w:leader="none" w:pos="1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0" w:lineRule="exact"/>
        <w:rPr>
          <w:rFonts w:ascii="Times New Roman" w:cs="Times New Roman" w:eastAsia="Times New Roman" w:hAnsi="Times New Roman"/>
          <w:sz w:val="18"/>
          <w:szCs w:val="18"/>
          <w:color w:val="auto"/>
        </w:rPr>
      </w:pPr>
    </w:p>
    <w:p>
      <w:pPr>
        <w:ind w:left="2140" w:hanging="210"/>
        <w:spacing w:after="0"/>
        <w:tabs>
          <w:tab w:leader="none" w:pos="21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0" w:lineRule="exact"/>
        <w:rPr>
          <w:rFonts w:ascii="Times New Roman" w:cs="Times New Roman" w:eastAsia="Times New Roman" w:hAnsi="Times New Roman"/>
          <w:sz w:val="18"/>
          <w:szCs w:val="18"/>
          <w:color w:val="auto"/>
        </w:rPr>
      </w:pPr>
    </w:p>
    <w:p>
      <w:pPr>
        <w:jc w:val="both"/>
        <w:ind w:firstLine="1930"/>
        <w:spacing w:after="0" w:line="253" w:lineRule="auto"/>
        <w:tabs>
          <w:tab w:leader="none" w:pos="218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86" w:lineRule="exact"/>
        <w:rPr>
          <w:rFonts w:ascii="Times New Roman" w:cs="Times New Roman" w:eastAsia="Times New Roman" w:hAnsi="Times New Roman"/>
          <w:sz w:val="18"/>
          <w:szCs w:val="18"/>
          <w:color w:val="auto"/>
        </w:rPr>
      </w:pPr>
    </w:p>
    <w:p>
      <w:pPr>
        <w:ind w:firstLine="1930"/>
        <w:spacing w:after="0" w:line="277" w:lineRule="auto"/>
        <w:tabs>
          <w:tab w:leader="none" w:pos="226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1" w:lineRule="exact"/>
        <w:rPr>
          <w:sz w:val="20"/>
          <w:szCs w:val="20"/>
          <w:color w:val="auto"/>
        </w:rPr>
      </w:pPr>
    </w:p>
    <w:p>
      <w:pPr>
        <w:jc w:val="both"/>
        <w:ind w:firstLine="1924"/>
        <w:spacing w:after="0" w:line="263"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(i) and (ii) above do not apply if the information required to be included in a post-effective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by those paragraphs is contained in periodic reports filed with or furnished to the Commission by the Registrant pursuant to Section 13 or Section 15(d) of the Exchange Act that are incorporated by reference in the Registration Statement.</w:t>
      </w:r>
    </w:p>
    <w:p>
      <w:pPr>
        <w:spacing w:after="0" w:line="176" w:lineRule="exact"/>
        <w:rPr>
          <w:sz w:val="20"/>
          <w:szCs w:val="20"/>
          <w:color w:val="auto"/>
        </w:rPr>
      </w:pPr>
    </w:p>
    <w:p>
      <w:pPr>
        <w:jc w:val="both"/>
        <w:ind w:firstLine="1289"/>
        <w:spacing w:after="0" w:line="262" w:lineRule="auto"/>
        <w:tabs>
          <w:tab w:leader="none" w:pos="153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herein, and the offering of such securities at that time shall be deemed to be the initial bona fide offering thereof.</w:t>
      </w:r>
    </w:p>
    <w:p>
      <w:pPr>
        <w:spacing w:after="0" w:line="177" w:lineRule="exact"/>
        <w:rPr>
          <w:rFonts w:ascii="Times New Roman" w:cs="Times New Roman" w:eastAsia="Times New Roman" w:hAnsi="Times New Roman"/>
          <w:sz w:val="18"/>
          <w:szCs w:val="18"/>
          <w:color w:val="auto"/>
        </w:rPr>
      </w:pPr>
    </w:p>
    <w:p>
      <w:pPr>
        <w:ind w:firstLine="1289"/>
        <w:spacing w:after="0" w:line="277" w:lineRule="auto"/>
        <w:tabs>
          <w:tab w:leader="none" w:pos="153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3"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7"/>
          <w:szCs w:val="17"/>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herein, and the offering of such securities at that time shall be deemed to be the initial bona fide offering thereof.</w:t>
      </w:r>
    </w:p>
    <w:p>
      <w:pPr>
        <w:spacing w:after="0" w:line="166"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417195</wp:posOffset>
            </wp:positionV>
            <wp:extent cx="71335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jc w:val="both"/>
        <w:ind w:firstLine="321"/>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Research Triangle Park, State of North Carolina on June 11, 2026.</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Fennec Pharmaceuticals Inc.</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Jeffrey Hackman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15875</wp:posOffset>
            </wp:positionV>
            <wp:extent cx="33502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3350260" cy="8255"/>
                    </a:xfrm>
                    <a:prstGeom prst="rect">
                      <a:avLst/>
                    </a:prstGeom>
                    <a:noFill/>
                  </pic:spPr>
                </pic:pic>
              </a:graphicData>
            </a:graphic>
          </wp:anchor>
        </w:drawing>
      </w:r>
    </w:p>
    <w:p>
      <w:pPr>
        <w:spacing w:after="0" w:line="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Jeffrey Hackman</w:t>
      </w:r>
    </w:p>
    <w:p>
      <w:pPr>
        <w:spacing w:after="0" w:line="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4" w:lineRule="exact"/>
        <w:rPr>
          <w:sz w:val="20"/>
          <w:szCs w:val="20"/>
          <w:color w:val="auto"/>
        </w:rPr>
      </w:pPr>
    </w:p>
    <w:p>
      <w:pPr>
        <w:jc w:val="both"/>
        <w:ind w:firstLine="321"/>
        <w:spacing w:after="0" w:line="252" w:lineRule="auto"/>
        <w:rPr>
          <w:sz w:val="20"/>
          <w:szCs w:val="20"/>
          <w:color w:val="auto"/>
        </w:rPr>
      </w:pPr>
      <w:r>
        <w:rPr>
          <w:rFonts w:ascii="Times New Roman" w:cs="Times New Roman" w:eastAsia="Times New Roman" w:hAnsi="Times New Roman"/>
          <w:sz w:val="18"/>
          <w:szCs w:val="18"/>
          <w:color w:val="auto"/>
        </w:rPr>
        <w:t>We, the undersigned directors and officers of the Registrant, hereby severally constitute and appoint Jeff Hackman and Robert Andrade as our true and lawful attorneys, with full power to them to sign for us and in our names in the capacities indicated below, the Registration Statement on Form S-8 filed herewith, and any and all amendments (including post-effective amendments) to said Registration Statement, and to file or cause to be filed the same, with all exhibits thereto and other documents in connection therewith, with the Commission, granting unto said attorneys, and each of them, full power and authority to do and perform each and every act and thing requisite and necessary to be done in connection therewith, as fully to all intents and purposes as each of them might or could do in person, and hereby ratifying and confirming all that said attorneys, and each of them, or their substitute or substitutes, shall do or cause to be done by virtue of this power of attorney. This power of attorney does not revoke any power of attorney previously granted by the undersigned, or any of them.</w:t>
      </w:r>
    </w:p>
    <w:p>
      <w:pPr>
        <w:spacing w:after="0" w:line="185" w:lineRule="exact"/>
        <w:rPr>
          <w:sz w:val="20"/>
          <w:szCs w:val="20"/>
          <w:color w:val="auto"/>
        </w:rPr>
      </w:pPr>
    </w:p>
    <w:p>
      <w:pPr>
        <w:jc w:val="both"/>
        <w:ind w:firstLine="321"/>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indicated on the date indicated: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80" w:type="dxa"/>
            <w:vAlign w:val="bottom"/>
          </w:tcPr>
          <w:p>
            <w:pPr>
              <w:spacing w:after="0"/>
              <w:rPr>
                <w:sz w:val="20"/>
                <w:szCs w:val="20"/>
                <w:color w:val="auto"/>
              </w:rPr>
            </w:pPr>
          </w:p>
        </w:tc>
        <w:tc>
          <w:tcPr>
            <w:tcW w:w="6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80" w:type="dxa"/>
            <w:vAlign w:val="bottom"/>
          </w:tcPr>
          <w:p>
            <w:pPr>
              <w:spacing w:after="0"/>
              <w:rPr>
                <w:sz w:val="20"/>
                <w:szCs w:val="20"/>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1"/>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Jeffrey Hackman</w:t>
            </w:r>
          </w:p>
        </w:tc>
        <w:tc>
          <w:tcPr>
            <w:tcW w:w="80" w:type="dxa"/>
            <w:vAlign w:val="bottom"/>
          </w:tcPr>
          <w:p>
            <w:pPr>
              <w:spacing w:after="0"/>
              <w:rPr>
                <w:sz w:val="24"/>
                <w:szCs w:val="24"/>
                <w:color w:val="auto"/>
              </w:rPr>
            </w:pPr>
          </w:p>
        </w:tc>
        <w:tc>
          <w:tcPr>
            <w:tcW w:w="6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Chief Executive Officer and 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11, 2026</w:t>
            </w:r>
          </w:p>
        </w:tc>
      </w:tr>
      <w:tr>
        <w:trPr>
          <w:trHeight w:val="226"/>
        </w:trPr>
        <w:tc>
          <w:tcPr>
            <w:tcW w:w="2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Jeffrey Hackman</w:t>
            </w:r>
          </w:p>
        </w:tc>
        <w:tc>
          <w:tcPr>
            <w:tcW w:w="80" w:type="dxa"/>
            <w:vAlign w:val="bottom"/>
          </w:tcPr>
          <w:p>
            <w:pPr>
              <w:spacing w:after="0"/>
              <w:rPr>
                <w:sz w:val="19"/>
                <w:szCs w:val="19"/>
                <w:color w:val="auto"/>
              </w:rPr>
            </w:pPr>
          </w:p>
        </w:tc>
        <w:tc>
          <w:tcPr>
            <w:tcW w:w="6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1980" w:type="dxa"/>
            <w:vAlign w:val="bottom"/>
          </w:tcPr>
          <w:p>
            <w:pPr>
              <w:spacing w:after="0"/>
              <w:rPr>
                <w:sz w:val="19"/>
                <w:szCs w:val="19"/>
                <w:color w:val="auto"/>
              </w:rPr>
            </w:pPr>
          </w:p>
        </w:tc>
      </w:tr>
      <w:tr>
        <w:trPr>
          <w:trHeight w:val="409"/>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Andrade</w:t>
            </w:r>
          </w:p>
        </w:tc>
        <w:tc>
          <w:tcPr>
            <w:tcW w:w="80" w:type="dxa"/>
            <w:vAlign w:val="bottom"/>
          </w:tcPr>
          <w:p>
            <w:pPr>
              <w:spacing w:after="0"/>
              <w:rPr>
                <w:sz w:val="24"/>
                <w:szCs w:val="24"/>
                <w:color w:val="auto"/>
              </w:rPr>
            </w:pPr>
          </w:p>
        </w:tc>
        <w:tc>
          <w:tcPr>
            <w:tcW w:w="6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11, 2026</w:t>
            </w:r>
          </w:p>
        </w:tc>
      </w:tr>
      <w:tr>
        <w:trPr>
          <w:trHeight w:val="22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Robert Andrade</w:t>
            </w:r>
          </w:p>
        </w:tc>
        <w:tc>
          <w:tcPr>
            <w:tcW w:w="80" w:type="dxa"/>
            <w:vAlign w:val="bottom"/>
          </w:tcPr>
          <w:p>
            <w:pPr>
              <w:spacing w:after="0"/>
              <w:rPr>
                <w:sz w:val="19"/>
                <w:szCs w:val="19"/>
                <w:color w:val="auto"/>
              </w:rPr>
            </w:pPr>
          </w:p>
        </w:tc>
        <w:tc>
          <w:tcPr>
            <w:tcW w:w="6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i w:val="1"/>
                <w:iCs w:val="1"/>
                <w:color w:val="auto"/>
                <w:w w:val="99"/>
              </w:rPr>
              <w:t>(principal financial and accounting officer)</w:t>
            </w:r>
          </w:p>
        </w:tc>
        <w:tc>
          <w:tcPr>
            <w:tcW w:w="1980" w:type="dxa"/>
            <w:vAlign w:val="bottom"/>
          </w:tcPr>
          <w:p>
            <w:pPr>
              <w:spacing w:after="0"/>
              <w:rPr>
                <w:sz w:val="19"/>
                <w:szCs w:val="19"/>
                <w:color w:val="auto"/>
              </w:rPr>
            </w:pPr>
          </w:p>
        </w:tc>
      </w:tr>
      <w:tr>
        <w:trPr>
          <w:trHeight w:val="409"/>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Dr. Khalid Islam</w:t>
            </w:r>
          </w:p>
        </w:tc>
        <w:tc>
          <w:tcPr>
            <w:tcW w:w="80" w:type="dxa"/>
            <w:vAlign w:val="bottom"/>
          </w:tcPr>
          <w:p>
            <w:pPr>
              <w:spacing w:after="0"/>
              <w:rPr>
                <w:sz w:val="24"/>
                <w:szCs w:val="24"/>
                <w:color w:val="auto"/>
              </w:rPr>
            </w:pPr>
          </w:p>
        </w:tc>
        <w:tc>
          <w:tcPr>
            <w:tcW w:w="6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11, 2026</w:t>
            </w:r>
          </w:p>
        </w:tc>
      </w:tr>
      <w:tr>
        <w:trPr>
          <w:trHeight w:val="22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Dr. Khalid Islam</w:t>
            </w:r>
          </w:p>
        </w:tc>
        <w:tc>
          <w:tcPr>
            <w:tcW w:w="8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09"/>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 A. Rallis</w:t>
            </w:r>
          </w:p>
        </w:tc>
        <w:tc>
          <w:tcPr>
            <w:tcW w:w="80" w:type="dxa"/>
            <w:vAlign w:val="bottom"/>
          </w:tcPr>
          <w:p>
            <w:pPr>
              <w:spacing w:after="0"/>
              <w:rPr>
                <w:sz w:val="24"/>
                <w:szCs w:val="24"/>
                <w:color w:val="auto"/>
              </w:rPr>
            </w:pPr>
          </w:p>
        </w:tc>
        <w:tc>
          <w:tcPr>
            <w:tcW w:w="6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11, 2026</w:t>
            </w:r>
          </w:p>
        </w:tc>
      </w:tr>
      <w:tr>
        <w:trPr>
          <w:trHeight w:val="226"/>
        </w:trPr>
        <w:tc>
          <w:tcPr>
            <w:tcW w:w="2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Chris A. Rallis</w:t>
            </w:r>
          </w:p>
        </w:tc>
        <w:tc>
          <w:tcPr>
            <w:tcW w:w="8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09"/>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Marco Brughera</w:t>
            </w:r>
          </w:p>
        </w:tc>
        <w:tc>
          <w:tcPr>
            <w:tcW w:w="80" w:type="dxa"/>
            <w:vAlign w:val="bottom"/>
          </w:tcPr>
          <w:p>
            <w:pPr>
              <w:spacing w:after="0"/>
              <w:rPr>
                <w:sz w:val="24"/>
                <w:szCs w:val="24"/>
                <w:color w:val="auto"/>
              </w:rPr>
            </w:pPr>
          </w:p>
        </w:tc>
        <w:tc>
          <w:tcPr>
            <w:tcW w:w="6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11, 2026</w:t>
            </w:r>
          </w:p>
        </w:tc>
      </w:tr>
      <w:tr>
        <w:trPr>
          <w:trHeight w:val="22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Marco Brughera</w:t>
            </w:r>
          </w:p>
        </w:tc>
        <w:tc>
          <w:tcPr>
            <w:tcW w:w="8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09"/>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Jodi Cook</w:t>
            </w:r>
          </w:p>
        </w:tc>
        <w:tc>
          <w:tcPr>
            <w:tcW w:w="80" w:type="dxa"/>
            <w:vAlign w:val="bottom"/>
          </w:tcPr>
          <w:p>
            <w:pPr>
              <w:spacing w:after="0"/>
              <w:rPr>
                <w:sz w:val="24"/>
                <w:szCs w:val="24"/>
                <w:color w:val="auto"/>
              </w:rPr>
            </w:pPr>
          </w:p>
        </w:tc>
        <w:tc>
          <w:tcPr>
            <w:tcW w:w="6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June 11, 2026</w:t>
            </w:r>
          </w:p>
        </w:tc>
      </w:tr>
      <w:tr>
        <w:trPr>
          <w:trHeight w:val="22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Jodi Cook</w:t>
            </w:r>
          </w:p>
        </w:tc>
        <w:tc>
          <w:tcPr>
            <w:tcW w:w="8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649"/>
        </w:trPr>
        <w:tc>
          <w:tcPr>
            <w:tcW w:w="2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2" w:right="339" w:bottom="1440" w:gutter="0" w:footer="0" w:header="0"/>
        </w:sectPr>
      </w:pPr>
    </w:p>
    <w:bookmarkStart w:id="6" w:name="page7"/>
    <w:bookmarkEnd w:id="6"/>
    <w:p>
      <w:pPr>
        <w:ind w:left="10360"/>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154305</wp:posOffset>
            </wp:positionV>
            <wp:extent cx="6582410" cy="6788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6582410" cy="678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June 10,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Fennec Pharmaceuticals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13628, 68 TW Alexander Drive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Triangle Park, NC 27709</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 Fennec Pharmaceuticals Inc. – Registration Statement on Form S-8</w:t>
      </w:r>
    </w:p>
    <w:p>
      <w:pPr>
        <w:spacing w:after="0" w:line="224" w:lineRule="exact"/>
        <w:rPr>
          <w:sz w:val="20"/>
          <w:szCs w:val="20"/>
          <w:color w:val="auto"/>
        </w:rPr>
      </w:pPr>
    </w:p>
    <w:p>
      <w:pPr>
        <w:jc w:val="both"/>
        <w:ind w:firstLine="641"/>
        <w:spacing w:after="0" w:line="255" w:lineRule="auto"/>
        <w:rPr>
          <w:sz w:val="20"/>
          <w:szCs w:val="20"/>
          <w:color w:val="auto"/>
        </w:rPr>
      </w:pPr>
      <w:r>
        <w:rPr>
          <w:rFonts w:ascii="Times New Roman" w:cs="Times New Roman" w:eastAsia="Times New Roman" w:hAnsi="Times New Roman"/>
          <w:sz w:val="18"/>
          <w:szCs w:val="18"/>
          <w:color w:val="auto"/>
        </w:rPr>
        <w:t>We have acted as counsel to Fennec Pharmaceuticals Inc., a corporation incorporated pursuant to the laws of British Columbia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a Registration Statement on Form S-8 filed on or about June 11, 2026 with the Securities and Exchange Commission (the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for the purpose of registering the issuance of 10,000,000 common shares of the Company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that may be issued pursuant to the Company’s 2020 Equity Incentive Plan, as amended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excluding any Shares issued under the Plan or the Company’s prior stock option plan prior to June 10, 2026.</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rendering this opinion, we have examined: (i) the Articles of the Company, as amended; (ii) certain resolutions of the Board of Directors of the Company evidencing the corporate proceedings taken by the Company to authorize the issuance of the Shares, and (iii) such other documents as we have deemed appropriate or necessary as a basis for the opinion hereinafter expressed.</w:t>
      </w:r>
    </w:p>
    <w:p>
      <w:pPr>
        <w:spacing w:after="0" w:line="1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rendering the opinion expressed below, we assumed the legal capacity of natural persons signing or delivering any instrument, the authenticity of all documents and records examined, the conformity with the original documents of all documents submitted to us as copies, and the genuineness of all signatures.</w:t>
      </w:r>
    </w:p>
    <w:p>
      <w:pPr>
        <w:spacing w:after="0" w:line="177"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Based upon and subject to the foregoing, and such legal considerations as we deem relevant, we are of the opinion that the Shares, when issued and delivered in accordance with the terms of the Plan, will be validly issued, fully paid and non-assessable.</w:t>
      </w:r>
    </w:p>
    <w:p>
      <w:pPr>
        <w:spacing w:after="0" w:line="1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foregoing opinion is based solely on the present laws and applicable regulations of the Province of British Columbia and the laws of Canada in force therein. We express no opinion as to matters involving the laws of any other jurisdiction.</w:t>
      </w:r>
    </w:p>
    <w:p>
      <w:pPr>
        <w:spacing w:after="0" w:line="1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hereby consent to the filing of this opinion as an Exhibit to the Registration Statement and to references made to this firm in the Registration Statement and all amendments thereto. In giving such consent we do not thereby admit that we are included in the category of persons whose consent is required under Section 7 of the </w:t>
      </w:r>
      <w:r>
        <w:rPr>
          <w:rFonts w:ascii="Times New Roman" w:cs="Times New Roman" w:eastAsia="Times New Roman" w:hAnsi="Times New Roman"/>
          <w:sz w:val="18"/>
          <w:szCs w:val="18"/>
          <w:i w:val="1"/>
          <w:iCs w:val="1"/>
          <w:color w:val="auto"/>
        </w:rPr>
        <w:t>Securities Act of 1933</w:t>
      </w:r>
      <w:r>
        <w:rPr>
          <w:rFonts w:ascii="Times New Roman" w:cs="Times New Roman" w:eastAsia="Times New Roman" w:hAnsi="Times New Roman"/>
          <w:sz w:val="18"/>
          <w:szCs w:val="18"/>
          <w:color w:val="auto"/>
        </w:rPr>
        <w:t>, as amended, or the rules and regulations promulgated thereunder. The opinions set forth in this letter are based upon the facts in existence and laws in effect on the date hereof and we expressly disclaim any obligation to update our opinions herein, regardless of whether changes in such facts or laws come to our attention after the delivery hereof.</w:t>
      </w:r>
    </w:p>
    <w:p>
      <w:pPr>
        <w:spacing w:after="0" w:line="18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Yours truly,</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LaBarge Weinstein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440055</wp:posOffset>
            </wp:positionV>
            <wp:extent cx="71335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7" w:name="page8"/>
    <w:bookmarkEnd w:id="7"/>
    <w:p>
      <w:pPr>
        <w:ind w:left="10280"/>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on Form S-8 of Fennec Pharmaceuticals Inc. (the “Company”) of our report dated March 27, 2026, relating to the consolidated financial statements as of December 31, 2025 and 2024, and for each of the years then ended, which appears in the Company’s Annual Report on Form 10-K for the fiscal year ended December 31, 2025.</w:t>
      </w:r>
    </w:p>
    <w:p>
      <w:pPr>
        <w:spacing w:after="0" w:line="17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Haskell &amp; White LLP</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HASKELL &amp; WHITE LLP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427990</wp:posOffset>
            </wp:positionV>
            <wp:extent cx="71335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48"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FENNEC PHARMACEUTICALS INC. 2020 EQUITY INCENTIVE PLAN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GENERAL PURPOSE OF THE PLAN; DEFINITIONS</w:t>
      </w:r>
    </w:p>
    <w:p>
      <w:pPr>
        <w:spacing w:after="0" w:line="220" w:lineRule="exact"/>
        <w:rPr>
          <w:sz w:val="20"/>
          <w:szCs w:val="20"/>
          <w:color w:val="auto"/>
        </w:rPr>
      </w:pPr>
    </w:p>
    <w:p>
      <w:pPr>
        <w:jc w:val="both"/>
        <w:ind w:firstLine="641"/>
        <w:spacing w:after="0" w:line="255" w:lineRule="auto"/>
        <w:rPr>
          <w:sz w:val="20"/>
          <w:szCs w:val="20"/>
          <w:color w:val="auto"/>
        </w:rPr>
      </w:pPr>
      <w:r>
        <w:rPr>
          <w:rFonts w:ascii="Times New Roman" w:cs="Times New Roman" w:eastAsia="Times New Roman" w:hAnsi="Times New Roman"/>
          <w:sz w:val="18"/>
          <w:szCs w:val="18"/>
          <w:color w:val="auto"/>
        </w:rPr>
        <w:t>The name of the plan is the Fennec Pharmaceuticals Inc. 2020 Equity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The purpose of the Plan is to encourage and enable the officers, employees, Non-Employee Directors and Consultants of Fennec Pharmaceuticals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its Affiliates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shareholders, thereby stimulating their efforts on the Company’s behalf and strengthening their desire to remain with the Company.</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terms shall be defined as set forth below:</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 xml:space="preserve">“Act” </w:t>
      </w:r>
      <w:r>
        <w:rPr>
          <w:rFonts w:ascii="Times New Roman" w:cs="Times New Roman" w:eastAsia="Times New Roman" w:hAnsi="Times New Roman"/>
          <w:sz w:val="18"/>
          <w:szCs w:val="18"/>
          <w:color w:val="auto"/>
        </w:rPr>
        <w:t>means the Securities Act of 1933, as amended, and the rules and regulations thereunder.</w:t>
      </w:r>
    </w:p>
    <w:p>
      <w:pPr>
        <w:spacing w:after="0" w:line="220" w:lineRule="exact"/>
        <w:rPr>
          <w:sz w:val="20"/>
          <w:szCs w:val="20"/>
          <w:color w:val="auto"/>
        </w:rPr>
      </w:pPr>
    </w:p>
    <w:p>
      <w:pPr>
        <w:jc w:val="both"/>
        <w:ind w:firstLine="641"/>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“Administrator” </w:t>
      </w:r>
      <w:r>
        <w:rPr>
          <w:rFonts w:ascii="Times New Roman" w:cs="Times New Roman" w:eastAsia="Times New Roman" w:hAnsi="Times New Roman"/>
          <w:sz w:val="18"/>
          <w:szCs w:val="18"/>
          <w:color w:val="auto"/>
        </w:rPr>
        <w:t>means either the Board or the compensation committee of the Board or a similar committee performing the functions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and which is comprised of not less than three Non-Employee Directors who are independent.</w:t>
      </w:r>
    </w:p>
    <w:p>
      <w:pPr>
        <w:spacing w:after="0" w:line="160" w:lineRule="exact"/>
        <w:rPr>
          <w:sz w:val="20"/>
          <w:szCs w:val="20"/>
          <w:color w:val="auto"/>
        </w:rPr>
      </w:pPr>
    </w:p>
    <w:p>
      <w:pPr>
        <w:jc w:val="both"/>
        <w:ind w:firstLine="641"/>
        <w:spacing w:after="0" w:line="27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means, at the time of determination, any “parent” or “subsidiary” of the Company as such terms are defined in Rule 405 of the Act. The Board will have the authority to determine the time or times at which “parent” or “subsidiary” status is determined within the foregoing definition.</w:t>
      </w:r>
    </w:p>
    <w:p>
      <w:pPr>
        <w:spacing w:after="0" w:line="160" w:lineRule="exact"/>
        <w:rPr>
          <w:sz w:val="20"/>
          <w:szCs w:val="20"/>
          <w:color w:val="auto"/>
        </w:rPr>
      </w:pPr>
    </w:p>
    <w:p>
      <w:pPr>
        <w:jc w:val="both"/>
        <w:ind w:firstLine="641"/>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“Award”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“Awards,” </w:t>
      </w:r>
      <w:r>
        <w:rPr>
          <w:rFonts w:ascii="Times New Roman" w:cs="Times New Roman" w:eastAsia="Times New Roman" w:hAnsi="Times New Roman"/>
          <w:sz w:val="18"/>
          <w:szCs w:val="18"/>
          <w:color w:val="auto"/>
        </w:rPr>
        <w:t>except where referring to a particular category of grant under the Plan, shall include Incentive Stock Options, Non-Qualified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Options, Stock Appreciation Rights, Restricted Stock Units, Restricted Stock Awards, Unrestricted Stock Awards, Cash-Based Awards, Dividend Equivalent Rights and Stock Purchase Rights.</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 xml:space="preserve">“Award Certificate” </w:t>
      </w:r>
      <w:r>
        <w:rPr>
          <w:rFonts w:ascii="Times New Roman" w:cs="Times New Roman" w:eastAsia="Times New Roman" w:hAnsi="Times New Roman"/>
          <w:sz w:val="18"/>
          <w:szCs w:val="18"/>
          <w:color w:val="auto"/>
        </w:rPr>
        <w:t>means a written or electronic document setting forth the terms and provisions applicable to an Award granted under the Plan.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Award Certificate is subject to the terms and conditions of the Plan.</w:t>
      </w:r>
    </w:p>
    <w:p>
      <w:pPr>
        <w:spacing w:after="0" w:line="2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 xml:space="preserve">“Board” </w:t>
      </w:r>
      <w:r>
        <w:rPr>
          <w:rFonts w:ascii="Times New Roman" w:cs="Times New Roman" w:eastAsia="Times New Roman" w:hAnsi="Times New Roman"/>
          <w:sz w:val="18"/>
          <w:szCs w:val="18"/>
          <w:color w:val="auto"/>
        </w:rPr>
        <w:t>means the Board of Directors of the Company.</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 xml:space="preserve">“Cash-Based Award” </w:t>
      </w:r>
      <w:r>
        <w:rPr>
          <w:rFonts w:ascii="Times New Roman" w:cs="Times New Roman" w:eastAsia="Times New Roman" w:hAnsi="Times New Roman"/>
          <w:sz w:val="18"/>
          <w:szCs w:val="18"/>
          <w:color w:val="auto"/>
        </w:rPr>
        <w:t>means an Award entitling the recipient to receive a cash-denominated payment.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 xml:space="preserve">“Code” </w:t>
      </w:r>
      <w:r>
        <w:rPr>
          <w:rFonts w:ascii="Times New Roman" w:cs="Times New Roman" w:eastAsia="Times New Roman" w:hAnsi="Times New Roman"/>
          <w:sz w:val="18"/>
          <w:szCs w:val="18"/>
          <w:color w:val="auto"/>
        </w:rPr>
        <w:t>means the</w:t>
      </w:r>
      <w:r>
        <w:rPr>
          <w:rFonts w:ascii="Times New Roman" w:cs="Times New Roman" w:eastAsia="Times New Roman" w:hAnsi="Times New Roman"/>
          <w:sz w:val="18"/>
          <w:szCs w:val="18"/>
          <w:i w:val="1"/>
          <w:iCs w:val="1"/>
          <w:color w:val="auto"/>
        </w:rPr>
        <w:t xml:space="preserve"> Internal Revenue Code of 1986</w:t>
      </w:r>
      <w:r>
        <w:rPr>
          <w:rFonts w:ascii="Times New Roman" w:cs="Times New Roman" w:eastAsia="Times New Roman" w:hAnsi="Times New Roman"/>
          <w:sz w:val="18"/>
          <w:szCs w:val="18"/>
          <w:color w:val="auto"/>
        </w:rPr>
        <w:t>, as amended, and any successor Code, and related rules, regulations and interpretations.</w:t>
      </w:r>
    </w:p>
    <w:p>
      <w:pPr>
        <w:spacing w:after="0" w:line="220" w:lineRule="exact"/>
        <w:rPr>
          <w:sz w:val="20"/>
          <w:szCs w:val="20"/>
          <w:color w:val="auto"/>
        </w:rPr>
      </w:pPr>
    </w:p>
    <w:p>
      <w:pPr>
        <w:jc w:val="both"/>
        <w:ind w:firstLine="641"/>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“Consultant” </w:t>
      </w:r>
      <w:r>
        <w:rPr>
          <w:rFonts w:ascii="Times New Roman" w:cs="Times New Roman" w:eastAsia="Times New Roman" w:hAnsi="Times New Roman"/>
          <w:sz w:val="18"/>
          <w:szCs w:val="18"/>
          <w:color w:val="auto"/>
        </w:rPr>
        <w:t>means a consultant or adviser who provides</w:t>
      </w:r>
      <w:r>
        <w:rPr>
          <w:rFonts w:ascii="Times New Roman" w:cs="Times New Roman" w:eastAsia="Times New Roman" w:hAnsi="Times New Roman"/>
          <w:sz w:val="18"/>
          <w:szCs w:val="18"/>
          <w:i w:val="1"/>
          <w:iCs w:val="1"/>
          <w:color w:val="auto"/>
        </w:rPr>
        <w:t xml:space="preserve"> bona fide </w:t>
      </w:r>
      <w:r>
        <w:rPr>
          <w:rFonts w:ascii="Times New Roman" w:cs="Times New Roman" w:eastAsia="Times New Roman" w:hAnsi="Times New Roman"/>
          <w:sz w:val="18"/>
          <w:szCs w:val="18"/>
          <w:color w:val="auto"/>
        </w:rPr>
        <w:t>services to the Company or an Affiliate as an independent contractor and who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qualifies as a consultant or advisor under Instruction A.1.(a)(1) of Form S-8 under the Act.</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 xml:space="preserve">“Contributions” </w:t>
      </w:r>
      <w:r>
        <w:rPr>
          <w:rFonts w:ascii="Times New Roman" w:cs="Times New Roman" w:eastAsia="Times New Roman" w:hAnsi="Times New Roman"/>
          <w:sz w:val="18"/>
          <w:szCs w:val="18"/>
          <w:color w:val="auto"/>
        </w:rPr>
        <w:t>has the meaning given to such term in Section 12(c).</w:t>
      </w:r>
    </w:p>
    <w:p>
      <w:pPr>
        <w:spacing w:after="0" w:line="220" w:lineRule="exact"/>
        <w:rPr>
          <w:sz w:val="20"/>
          <w:szCs w:val="20"/>
          <w:color w:val="auto"/>
        </w:rPr>
      </w:pPr>
    </w:p>
    <w:p>
      <w:pPr>
        <w:jc w:val="both"/>
        <w:ind w:firstLine="641"/>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“Dividend Equivalent Right” </w:t>
      </w:r>
      <w:r>
        <w:rPr>
          <w:rFonts w:ascii="Times New Roman" w:cs="Times New Roman" w:eastAsia="Times New Roman" w:hAnsi="Times New Roman"/>
          <w:sz w:val="18"/>
          <w:szCs w:val="18"/>
          <w:color w:val="auto"/>
        </w:rPr>
        <w:t>means an Award entitling the grantee to receive credits based on cash dividends that would have been paid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specified in the Dividend Equivalent Right (or other award to which it relates) if such shares had been issued to and held by the grantee.</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 xml:space="preserve">“Effective Date” </w:t>
      </w:r>
      <w:r>
        <w:rPr>
          <w:rFonts w:ascii="Times New Roman" w:cs="Times New Roman" w:eastAsia="Times New Roman" w:hAnsi="Times New Roman"/>
          <w:sz w:val="18"/>
          <w:szCs w:val="18"/>
          <w:color w:val="auto"/>
        </w:rPr>
        <w:t>means the date on which the Plan becomes effective as set forth in Section 20.</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 xml:space="preserve">“Exchange Act” </w:t>
      </w:r>
      <w:r>
        <w:rPr>
          <w:rFonts w:ascii="Times New Roman" w:cs="Times New Roman" w:eastAsia="Times New Roman" w:hAnsi="Times New Roman"/>
          <w:sz w:val="18"/>
          <w:szCs w:val="18"/>
          <w:color w:val="auto"/>
        </w:rPr>
        <w:t>means the</w:t>
      </w:r>
      <w:r>
        <w:rPr>
          <w:rFonts w:ascii="Times New Roman" w:cs="Times New Roman" w:eastAsia="Times New Roman" w:hAnsi="Times New Roman"/>
          <w:sz w:val="18"/>
          <w:szCs w:val="18"/>
          <w:i w:val="1"/>
          <w:iCs w:val="1"/>
          <w:color w:val="auto"/>
        </w:rPr>
        <w:t xml:space="preserve"> Securities Exchange Act of 1934</w:t>
      </w:r>
      <w:r>
        <w:rPr>
          <w:rFonts w:ascii="Times New Roman" w:cs="Times New Roman" w:eastAsia="Times New Roman" w:hAnsi="Times New Roman"/>
          <w:sz w:val="18"/>
          <w:szCs w:val="18"/>
          <w:color w:val="auto"/>
        </w:rPr>
        <w:t>, as amended, and the rules and regulations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441325</wp:posOffset>
            </wp:positionV>
            <wp:extent cx="71335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9" w:name="page10"/>
    <w:bookmarkEnd w:id="9"/>
    <w:p>
      <w:pPr>
        <w:jc w:val="both"/>
        <w:ind w:firstLine="641"/>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“Fair Market Value” </w:t>
      </w:r>
      <w:r>
        <w:rPr>
          <w:rFonts w:ascii="Times New Roman" w:cs="Times New Roman" w:eastAsia="Times New Roman" w:hAnsi="Times New Roman"/>
          <w:sz w:val="17"/>
          <w:szCs w:val="17"/>
          <w:color w:val="auto"/>
        </w:rPr>
        <w:t>of the Shares on any given date means the fair market value of the Shares determined in good faith by the Administrator;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provided, however, that: (i) if the Shares are listed on the National Association of Securities Dealers Automated Quotation System (“</w:t>
      </w:r>
      <w:r>
        <w:rPr>
          <w:rFonts w:ascii="Times New Roman" w:cs="Times New Roman" w:eastAsia="Times New Roman" w:hAnsi="Times New Roman"/>
          <w:sz w:val="17"/>
          <w:szCs w:val="17"/>
          <w:u w:val="single" w:color="auto"/>
          <w:color w:val="auto"/>
        </w:rPr>
        <w:t>NASDAQ</w:t>
      </w:r>
      <w:r>
        <w:rPr>
          <w:rFonts w:ascii="Times New Roman" w:cs="Times New Roman" w:eastAsia="Times New Roman" w:hAnsi="Times New Roman"/>
          <w:sz w:val="17"/>
          <w:szCs w:val="17"/>
          <w:color w:val="auto"/>
        </w:rPr>
        <w:t>”), NASDAQ Global Market, The New York Stock Exchange or another national securities exchange in the United States, the Fair Market Value shall be the closing price of the Shares reported on such exchange on the trading day immediately preceding the date of grant, or if there is no closing price reported for such date, the determination shall be made by reference to the last date preceding such date for which there is a closing price reported; or (ii) if the Shares are not listed on any exchange referred to in (i) above, but are listed on the Toronto Stock Exchange (the “</w:t>
      </w:r>
      <w:r>
        <w:rPr>
          <w:rFonts w:ascii="Times New Roman" w:cs="Times New Roman" w:eastAsia="Times New Roman" w:hAnsi="Times New Roman"/>
          <w:sz w:val="17"/>
          <w:szCs w:val="17"/>
          <w:u w:val="single" w:color="auto"/>
          <w:color w:val="auto"/>
        </w:rPr>
        <w:t>TSX</w:t>
      </w:r>
      <w:r>
        <w:rPr>
          <w:rFonts w:ascii="Times New Roman" w:cs="Times New Roman" w:eastAsia="Times New Roman" w:hAnsi="Times New Roman"/>
          <w:sz w:val="17"/>
          <w:szCs w:val="17"/>
          <w:color w:val="auto"/>
        </w:rPr>
        <w:t>”) or other recognized exchange in Canada, "Fair Market Value" shall be the closing price of the Shares reported on such exchange on the trading day immediately preceding the date of grant, or if there is no closing price reported for such date, the determination shall be made by reference to the last date preceding such date for which there is a closing price reported.</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 xml:space="preserve">“Incentive Stock Option” </w:t>
      </w:r>
      <w:r>
        <w:rPr>
          <w:rFonts w:ascii="Times New Roman" w:cs="Times New Roman" w:eastAsia="Times New Roman" w:hAnsi="Times New Roman"/>
          <w:sz w:val="18"/>
          <w:szCs w:val="18"/>
          <w:color w:val="auto"/>
        </w:rPr>
        <w:t>means any Stock Option designated and qualified as an “incentive stock option” as defined in Section 422 of the Code.</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 xml:space="preserve">“Non-Employee Director” </w:t>
      </w:r>
      <w:r>
        <w:rPr>
          <w:rFonts w:ascii="Times New Roman" w:cs="Times New Roman" w:eastAsia="Times New Roman" w:hAnsi="Times New Roman"/>
          <w:sz w:val="18"/>
          <w:szCs w:val="18"/>
          <w:color w:val="auto"/>
        </w:rPr>
        <w:t>means a member of the Board who is not also an employee of the Company or any Subsidiary.</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 xml:space="preserve">“Non-Qualified Stock Option” </w:t>
      </w:r>
      <w:r>
        <w:rPr>
          <w:rFonts w:ascii="Times New Roman" w:cs="Times New Roman" w:eastAsia="Times New Roman" w:hAnsi="Times New Roman"/>
          <w:sz w:val="18"/>
          <w:szCs w:val="18"/>
          <w:color w:val="auto"/>
        </w:rPr>
        <w:t>means any Stock Option that is not an Incentive Stock Option.</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 xml:space="preserve">“Offering Period” </w:t>
      </w:r>
      <w:r>
        <w:rPr>
          <w:rFonts w:ascii="Times New Roman" w:cs="Times New Roman" w:eastAsia="Times New Roman" w:hAnsi="Times New Roman"/>
          <w:sz w:val="18"/>
          <w:szCs w:val="18"/>
          <w:color w:val="auto"/>
        </w:rPr>
        <w:t>means an offering period established in accordance with Section 12 respecting Stock Purchase Rights.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 xml:space="preserve">“Option”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“Stock Option” </w:t>
      </w:r>
      <w:r>
        <w:rPr>
          <w:rFonts w:ascii="Times New Roman" w:cs="Times New Roman" w:eastAsia="Times New Roman" w:hAnsi="Times New Roman"/>
          <w:sz w:val="18"/>
          <w:szCs w:val="18"/>
          <w:color w:val="auto"/>
        </w:rPr>
        <w:t>means any option to purchase Shares granted pursuant to Section 5.</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 xml:space="preserve">“Prior Plan” </w:t>
      </w:r>
      <w:r>
        <w:rPr>
          <w:rFonts w:ascii="Times New Roman" w:cs="Times New Roman" w:eastAsia="Times New Roman" w:hAnsi="Times New Roman"/>
          <w:sz w:val="18"/>
          <w:szCs w:val="18"/>
          <w:color w:val="auto"/>
        </w:rPr>
        <w:t>means the Fennec Pharmaceuticals Inc. Amended and Restated Stock Option Plan amended as of June 18, 2019.</w:t>
      </w:r>
    </w:p>
    <w:p>
      <w:pPr>
        <w:spacing w:after="0" w:line="220" w:lineRule="exact"/>
        <w:rPr>
          <w:sz w:val="20"/>
          <w:szCs w:val="20"/>
          <w:color w:val="auto"/>
        </w:rPr>
      </w:pPr>
    </w:p>
    <w:p>
      <w:pPr>
        <w:jc w:val="both"/>
        <w:ind w:firstLine="641"/>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“Restricted Shares” </w:t>
      </w:r>
      <w:r>
        <w:rPr>
          <w:rFonts w:ascii="Times New Roman" w:cs="Times New Roman" w:eastAsia="Times New Roman" w:hAnsi="Times New Roman"/>
          <w:sz w:val="18"/>
          <w:szCs w:val="18"/>
          <w:color w:val="auto"/>
        </w:rPr>
        <w:t>means the Shares underlying a Restricted Stock Award that remain subject to a risk of forfeiture or the Company’s right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repurchase.</w:t>
      </w:r>
    </w:p>
    <w:p>
      <w:pPr>
        <w:spacing w:after="0" w:line="160" w:lineRule="exact"/>
        <w:rPr>
          <w:sz w:val="20"/>
          <w:szCs w:val="20"/>
          <w:color w:val="auto"/>
        </w:rPr>
      </w:pPr>
    </w:p>
    <w:p>
      <w:pPr>
        <w:jc w:val="both"/>
        <w:ind w:firstLine="641"/>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“Restricted Stock Award” </w:t>
      </w:r>
      <w:r>
        <w:rPr>
          <w:rFonts w:ascii="Times New Roman" w:cs="Times New Roman" w:eastAsia="Times New Roman" w:hAnsi="Times New Roman"/>
          <w:sz w:val="18"/>
          <w:szCs w:val="18"/>
          <w:color w:val="auto"/>
        </w:rPr>
        <w:t>means an Award of Restricted Shares subject to such restrictions and conditions as the Administrator may determine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time of grant.</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means an Award of share units subject to such restrictions and conditions as the Administrator may determine at the time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grant.</w:t>
      </w:r>
    </w:p>
    <w:p>
      <w:pPr>
        <w:spacing w:after="0" w:line="2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 xml:space="preserve">“Sale Event” </w:t>
      </w:r>
      <w:r>
        <w:rPr>
          <w:rFonts w:ascii="Times New Roman" w:cs="Times New Roman" w:eastAsia="Times New Roman" w:hAnsi="Times New Roman"/>
          <w:sz w:val="18"/>
          <w:szCs w:val="18"/>
          <w:color w:val="auto"/>
        </w:rPr>
        <w:t>shall mean (i) the sale of all or substantially all of the assets of the Company on a consolidated basis to an unrelated person or entity,</w:t>
      </w:r>
    </w:p>
    <w:p>
      <w:pPr>
        <w:spacing w:after="0" w:line="28" w:lineRule="exact"/>
        <w:rPr>
          <w:sz w:val="20"/>
          <w:szCs w:val="20"/>
          <w:color w:val="auto"/>
        </w:rPr>
      </w:pPr>
    </w:p>
    <w:p>
      <w:pPr>
        <w:jc w:val="both"/>
        <w:ind w:firstLine="7"/>
        <w:spacing w:after="0" w:line="249" w:lineRule="auto"/>
        <w:tabs>
          <w:tab w:leader="none" w:pos="26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reorganization or consolidation pursuant to which the holders of the Company’s outstanding voting power and outstanding shares immediately prior to such transaction do not own a majority of the outstanding voting power and outstanding shares or other equity interests of the resulting or successor entity (or its ultimate parent, if applicable) immediately upon completion of such transaction, (iii) the sale of all of the Shares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187" w:lineRule="exact"/>
        <w:rPr>
          <w:sz w:val="20"/>
          <w:szCs w:val="20"/>
          <w:color w:val="auto"/>
        </w:rPr>
      </w:pPr>
    </w:p>
    <w:p>
      <w:pPr>
        <w:ind w:firstLine="641"/>
        <w:spacing w:after="0" w:line="27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Sale Price</w:t>
      </w:r>
      <w:r>
        <w:rPr>
          <w:rFonts w:ascii="Times New Roman" w:cs="Times New Roman" w:eastAsia="Times New Roman" w:hAnsi="Times New Roman"/>
          <w:sz w:val="18"/>
          <w:szCs w:val="18"/>
          <w:color w:val="auto"/>
        </w:rPr>
        <w:t>” means the value as determined by the Administrator of the consideration payable, or otherwise to be received by shareholders, per Share, pursuant to a Sale Event.</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 xml:space="preserve">“Section 409A” </w:t>
      </w:r>
      <w:r>
        <w:rPr>
          <w:rFonts w:ascii="Times New Roman" w:cs="Times New Roman" w:eastAsia="Times New Roman" w:hAnsi="Times New Roman"/>
          <w:sz w:val="18"/>
          <w:szCs w:val="18"/>
          <w:color w:val="auto"/>
        </w:rPr>
        <w:t>means Section 409A of the Code and the regulations and other guidance promulgated thereunder.</w:t>
      </w:r>
    </w:p>
    <w:p>
      <w:pPr>
        <w:spacing w:after="0" w:line="220" w:lineRule="exact"/>
        <w:rPr>
          <w:sz w:val="20"/>
          <w:szCs w:val="20"/>
          <w:color w:val="auto"/>
        </w:rPr>
      </w:pPr>
    </w:p>
    <w:p>
      <w:pPr>
        <w:ind w:right="20" w:firstLine="641"/>
        <w:spacing w:after="0" w:line="310" w:lineRule="auto"/>
        <w:rPr>
          <w:sz w:val="20"/>
          <w:szCs w:val="20"/>
          <w:color w:val="auto"/>
        </w:rPr>
      </w:pPr>
      <w:r>
        <w:rPr>
          <w:rFonts w:ascii="Times New Roman" w:cs="Times New Roman" w:eastAsia="Times New Roman" w:hAnsi="Times New Roman"/>
          <w:sz w:val="17"/>
          <w:szCs w:val="17"/>
          <w:i w:val="1"/>
          <w:iCs w:val="1"/>
          <w:color w:val="auto"/>
        </w:rPr>
        <w:t xml:space="preserve">“Service Relationship” </w:t>
      </w:r>
      <w:r>
        <w:rPr>
          <w:rFonts w:ascii="Times New Roman" w:cs="Times New Roman" w:eastAsia="Times New Roman" w:hAnsi="Times New Roman"/>
          <w:sz w:val="17"/>
          <w:szCs w:val="17"/>
          <w:color w:val="auto"/>
        </w:rPr>
        <w:t>means any relationship as an employee, director or Consultant of the Company or any Affiliate (e.g., a Service Relationship</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shall be deemed to continue without interruption in the event an individual’s status changes from full-time employee to part-time employee or Consultant).</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 xml:space="preserve">“Shares” </w:t>
      </w:r>
      <w:r>
        <w:rPr>
          <w:rFonts w:ascii="Times New Roman" w:cs="Times New Roman" w:eastAsia="Times New Roman" w:hAnsi="Times New Roman"/>
          <w:sz w:val="18"/>
          <w:szCs w:val="18"/>
          <w:color w:val="auto"/>
        </w:rPr>
        <w:t>means the common shares in the capital of the Company, subject to adjustments pursuant to Section 3.</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35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10" w:name="page11"/>
    <w:bookmarkEnd w:id="10"/>
    <w:p>
      <w:pPr>
        <w:jc w:val="both"/>
        <w:ind w:firstLine="641"/>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“Stock Appreciation Right” </w:t>
      </w:r>
      <w:r>
        <w:rPr>
          <w:rFonts w:ascii="Times New Roman" w:cs="Times New Roman" w:eastAsia="Times New Roman" w:hAnsi="Times New Roman"/>
          <w:sz w:val="18"/>
          <w:szCs w:val="18"/>
          <w:color w:val="auto"/>
        </w:rPr>
        <w:t>means an Award entitling the recipient to receive Shares (or cash, to the extent explicitly provided for in the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Certificate) having a value equal to the excess of the Fair Market Value of the Shares on the date of exercise over the exercise price of the Stock Appreciation Right multiplied by the number of Shares with respect to which the Stock Appreciation Right shall have been exercised.</w:t>
      </w:r>
    </w:p>
    <w:p>
      <w:pPr>
        <w:spacing w:after="0" w:line="174" w:lineRule="exact"/>
        <w:rPr>
          <w:sz w:val="20"/>
          <w:szCs w:val="20"/>
          <w:color w:val="auto"/>
        </w:rPr>
      </w:pPr>
    </w:p>
    <w:p>
      <w:pPr>
        <w:jc w:val="both"/>
        <w:ind w:firstLine="641"/>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“Stock Purchase Rights” </w:t>
      </w:r>
      <w:r>
        <w:rPr>
          <w:rFonts w:ascii="Times New Roman" w:cs="Times New Roman" w:eastAsia="Times New Roman" w:hAnsi="Times New Roman"/>
          <w:sz w:val="18"/>
          <w:szCs w:val="18"/>
          <w:color w:val="auto"/>
        </w:rPr>
        <w:t>means an Award entitling the recipient to purchase Shares through after-tax payroll deductions or lump sum payment,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the terms and conditions set forth in this Plan (and in particular Section 12) and the applicable Award Certificate.</w:t>
      </w:r>
    </w:p>
    <w:p>
      <w:pPr>
        <w:spacing w:after="0" w:line="160" w:lineRule="exact"/>
        <w:rPr>
          <w:sz w:val="20"/>
          <w:szCs w:val="20"/>
          <w:color w:val="auto"/>
        </w:rPr>
      </w:pPr>
    </w:p>
    <w:p>
      <w:pPr>
        <w:jc w:val="both"/>
        <w:ind w:firstLine="641"/>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“Subsidiary” </w:t>
      </w:r>
      <w:r>
        <w:rPr>
          <w:rFonts w:ascii="Times New Roman" w:cs="Times New Roman" w:eastAsia="Times New Roman" w:hAnsi="Times New Roman"/>
          <w:sz w:val="18"/>
          <w:szCs w:val="18"/>
          <w:color w:val="auto"/>
        </w:rPr>
        <w:t>means any corporation or other entity (other than the Company) in which the Company has at least a 50 percent interest, either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directly or indirectly.</w:t>
      </w:r>
    </w:p>
    <w:p>
      <w:pPr>
        <w:spacing w:after="0" w:line="160" w:lineRule="exact"/>
        <w:rPr>
          <w:sz w:val="20"/>
          <w:szCs w:val="20"/>
          <w:color w:val="auto"/>
        </w:rPr>
      </w:pPr>
    </w:p>
    <w:p>
      <w:pPr>
        <w:jc w:val="both"/>
        <w:ind w:firstLine="641"/>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“Ten Percent Owner” </w:t>
      </w:r>
      <w:r>
        <w:rPr>
          <w:rFonts w:ascii="Times New Roman" w:cs="Times New Roman" w:eastAsia="Times New Roman" w:hAnsi="Times New Roman"/>
          <w:sz w:val="18"/>
          <w:szCs w:val="18"/>
          <w:color w:val="auto"/>
        </w:rPr>
        <w:t>means an employee who owns or is deemed to own (by reason of the attribution rules of Section 424(d) of the Code)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10 percent of the combined voting power of all classes of capital stock of the Company or any parent or subsidiary corporation.</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 xml:space="preserve">“Unrestricted Stock Award” </w:t>
      </w:r>
      <w:r>
        <w:rPr>
          <w:rFonts w:ascii="Times New Roman" w:cs="Times New Roman" w:eastAsia="Times New Roman" w:hAnsi="Times New Roman"/>
          <w:sz w:val="18"/>
          <w:szCs w:val="18"/>
          <w:color w:val="auto"/>
        </w:rPr>
        <w:t>means an Award of Shares free of any restrictions.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ADMINISTRATION OF PLAN; ADMINISTRATOR AUTHORITY TO SELECT GRANTEES AND DETERMINE AWARDS</w:t>
      </w:r>
    </w:p>
    <w:p>
      <w:pPr>
        <w:spacing w:after="0" w:line="220" w:lineRule="exact"/>
        <w:rPr>
          <w:sz w:val="20"/>
          <w:szCs w:val="20"/>
          <w:color w:val="auto"/>
        </w:rPr>
      </w:pPr>
    </w:p>
    <w:p>
      <w:pPr>
        <w:ind w:left="1020" w:hanging="372"/>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Plan</w:t>
      </w:r>
      <w:r>
        <w:rPr>
          <w:rFonts w:ascii="Times New Roman" w:cs="Times New Roman" w:eastAsia="Times New Roman" w:hAnsi="Times New Roman"/>
          <w:sz w:val="18"/>
          <w:szCs w:val="18"/>
          <w:color w:val="auto"/>
        </w:rPr>
        <w:t>. The Plan shall be administered by the Administrator.</w:t>
      </w:r>
    </w:p>
    <w:p>
      <w:pPr>
        <w:spacing w:after="0" w:line="247" w:lineRule="exact"/>
        <w:rPr>
          <w:rFonts w:ascii="Times New Roman" w:cs="Times New Roman" w:eastAsia="Times New Roman" w:hAnsi="Times New Roman"/>
          <w:sz w:val="18"/>
          <w:szCs w:val="18"/>
          <w:color w:val="auto"/>
        </w:rPr>
      </w:pPr>
    </w:p>
    <w:p>
      <w:pPr>
        <w:ind w:right="20" w:firstLine="648"/>
        <w:spacing w:after="0" w:line="277" w:lineRule="auto"/>
        <w:tabs>
          <w:tab w:leader="none" w:pos="113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Administrator</w:t>
      </w:r>
      <w:r>
        <w:rPr>
          <w:rFonts w:ascii="Times New Roman" w:cs="Times New Roman" w:eastAsia="Times New Roman" w:hAnsi="Times New Roman"/>
          <w:sz w:val="18"/>
          <w:szCs w:val="18"/>
          <w:color w:val="auto"/>
        </w:rPr>
        <w:t>. The Administrator shall have the power and authority to grant Awards consistent with the terms of the Plan, including the power and authority:</w:t>
      </w:r>
    </w:p>
    <w:p>
      <w:pPr>
        <w:spacing w:after="0" w:line="163" w:lineRule="exact"/>
        <w:rPr>
          <w:rFonts w:ascii="Times New Roman" w:cs="Times New Roman" w:eastAsia="Times New Roman" w:hAnsi="Times New Roman"/>
          <w:sz w:val="18"/>
          <w:szCs w:val="18"/>
          <w:color w:val="auto"/>
        </w:rPr>
      </w:pPr>
    </w:p>
    <w:p>
      <w:pPr>
        <w:ind w:left="1820" w:hanging="531"/>
        <w:spacing w:after="0"/>
        <w:tabs>
          <w:tab w:leader="none" w:pos="18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individuals to whom Awards may from time to time be granted;</w:t>
      </w:r>
    </w:p>
    <w:p>
      <w:pPr>
        <w:spacing w:after="0" w:line="220" w:lineRule="exact"/>
        <w:rPr>
          <w:rFonts w:ascii="Times New Roman" w:cs="Times New Roman" w:eastAsia="Times New Roman" w:hAnsi="Times New Roman"/>
          <w:sz w:val="18"/>
          <w:szCs w:val="18"/>
          <w:color w:val="auto"/>
        </w:rPr>
      </w:pPr>
    </w:p>
    <w:p>
      <w:pPr>
        <w:jc w:val="both"/>
        <w:ind w:firstLine="1289"/>
        <w:spacing w:after="0" w:line="262" w:lineRule="auto"/>
        <w:tabs>
          <w:tab w:leader="none" w:pos="185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time or times of grant, and the extent, if any, of Incentive Stock Options, Non- Qualified Stock Options, Stock Appreciation Rights, Restricted Stock Awards, Restricted Stock Units, Unrestricted Stock Awards, Stock Purchase Rights, Cash-Based Awards, and Dividend Equivalent Rights, or any combination of the foregoing, granted to any one or more grantees;</w:t>
      </w:r>
    </w:p>
    <w:p>
      <w:pPr>
        <w:spacing w:after="0" w:line="177" w:lineRule="exact"/>
        <w:rPr>
          <w:rFonts w:ascii="Times New Roman" w:cs="Times New Roman" w:eastAsia="Times New Roman" w:hAnsi="Times New Roman"/>
          <w:sz w:val="18"/>
          <w:szCs w:val="18"/>
          <w:color w:val="auto"/>
        </w:rPr>
      </w:pPr>
    </w:p>
    <w:p>
      <w:pPr>
        <w:ind w:left="1820" w:hanging="531"/>
        <w:spacing w:after="0"/>
        <w:tabs>
          <w:tab w:leader="none" w:pos="18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to be covered by any Award;</w:t>
      </w:r>
    </w:p>
    <w:p>
      <w:pPr>
        <w:spacing w:after="0" w:line="220" w:lineRule="exact"/>
        <w:rPr>
          <w:rFonts w:ascii="Times New Roman" w:cs="Times New Roman" w:eastAsia="Times New Roman" w:hAnsi="Times New Roman"/>
          <w:sz w:val="18"/>
          <w:szCs w:val="18"/>
          <w:color w:val="auto"/>
        </w:rPr>
      </w:pPr>
    </w:p>
    <w:p>
      <w:pPr>
        <w:ind w:firstLine="1289"/>
        <w:spacing w:after="0" w:line="277" w:lineRule="auto"/>
        <w:tabs>
          <w:tab w:leader="none" w:pos="186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and modify from time to time the terms and conditions, including restrictions, not inconsistent with the terms of the Plan, of any Award, which terms and conditions may differ among individual Awards and grantees, and to approve the forms of Award Certificates;</w:t>
      </w:r>
    </w:p>
    <w:p>
      <w:pPr>
        <w:spacing w:after="0" w:line="163" w:lineRule="exact"/>
        <w:rPr>
          <w:rFonts w:ascii="Times New Roman" w:cs="Times New Roman" w:eastAsia="Times New Roman" w:hAnsi="Times New Roman"/>
          <w:sz w:val="18"/>
          <w:szCs w:val="18"/>
          <w:color w:val="auto"/>
        </w:rPr>
      </w:pPr>
    </w:p>
    <w:p>
      <w:pPr>
        <w:ind w:left="1800" w:hanging="511"/>
        <w:spacing w:after="0"/>
        <w:tabs>
          <w:tab w:leader="none" w:pos="18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accelerate at any time the exercisability or vesting of all or any portion of any Award;</w:t>
      </w:r>
    </w:p>
    <w:p>
      <w:pPr>
        <w:spacing w:after="0" w:line="220" w:lineRule="exact"/>
        <w:rPr>
          <w:rFonts w:ascii="Times New Roman" w:cs="Times New Roman" w:eastAsia="Times New Roman" w:hAnsi="Times New Roman"/>
          <w:sz w:val="18"/>
          <w:szCs w:val="18"/>
          <w:color w:val="auto"/>
        </w:rPr>
      </w:pPr>
    </w:p>
    <w:p>
      <w:pPr>
        <w:ind w:left="1820" w:hanging="531"/>
        <w:spacing w:after="0"/>
        <w:tabs>
          <w:tab w:leader="none" w:pos="182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provisions of Section 5(c) and Section 17, to extend at any time the period in which Stock Options may be exercised;</w:t>
      </w:r>
    </w:p>
    <w:p>
      <w:pPr>
        <w:spacing w:after="0" w:line="231" w:lineRule="exact"/>
        <w:rPr>
          <w:rFonts w:ascii="Times New Roman" w:cs="Times New Roman" w:eastAsia="Times New Roman" w:hAnsi="Times New Roman"/>
          <w:sz w:val="17"/>
          <w:szCs w:val="17"/>
          <w:color w:val="auto"/>
        </w:rPr>
      </w:pPr>
    </w:p>
    <w:p>
      <w:pPr>
        <w:ind w:firstLine="1289"/>
        <w:spacing w:after="0" w:line="277" w:lineRule="auto"/>
        <w:tabs>
          <w:tab w:leader="none" w:pos="190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 trust company or trust companies from time to time to administrator contributions and investments respecting Stock Purchase Rights granted under the Plan; and</w:t>
      </w:r>
    </w:p>
    <w:p>
      <w:pPr>
        <w:spacing w:after="0" w:line="163" w:lineRule="exact"/>
        <w:rPr>
          <w:rFonts w:ascii="Times New Roman" w:cs="Times New Roman" w:eastAsia="Times New Roman" w:hAnsi="Times New Roman"/>
          <w:sz w:val="18"/>
          <w:szCs w:val="18"/>
          <w:color w:val="auto"/>
        </w:rPr>
      </w:pPr>
    </w:p>
    <w:p>
      <w:pPr>
        <w:jc w:val="both"/>
        <w:ind w:firstLine="1289"/>
        <w:spacing w:after="0" w:line="257" w:lineRule="auto"/>
        <w:tabs>
          <w:tab w:leader="none" w:pos="18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decisions and interpretations of the Administrator shall be binding on all persons, including the Company and Plan grantees.</w:t>
      </w:r>
    </w:p>
    <w:p>
      <w:pPr>
        <w:spacing w:after="0" w:line="220" w:lineRule="exact"/>
        <w:rPr>
          <w:sz w:val="20"/>
          <w:szCs w:val="20"/>
          <w:color w:val="auto"/>
        </w:rPr>
      </w:pPr>
    </w:p>
    <w:p>
      <w:pPr>
        <w:ind w:firstLine="648"/>
        <w:spacing w:after="0" w:line="277" w:lineRule="auto"/>
        <w:tabs>
          <w:tab w:leader="none" w:pos="103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Certificate</w:t>
      </w:r>
      <w:r>
        <w:rPr>
          <w:rFonts w:ascii="Times New Roman" w:cs="Times New Roman" w:eastAsia="Times New Roman" w:hAnsi="Times New Roman"/>
          <w:sz w:val="18"/>
          <w:szCs w:val="18"/>
          <w:color w:val="auto"/>
        </w:rPr>
        <w:t>. Awards under the Plan shall be evidenced by Award Certificates that set forth the terms, conditions and limitations for each Award, which may include, without limitation, the term of an Award and the provisions applicable in the event employment or service terminates.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35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4" w:right="339" w:bottom="1440" w:gutter="0" w:footer="0" w:header="0"/>
        </w:sectPr>
      </w:pPr>
    </w:p>
    <w:bookmarkStart w:id="11" w:name="page12"/>
    <w:bookmarkEnd w:id="11"/>
    <w:p>
      <w:pPr>
        <w:jc w:val="both"/>
        <w:ind w:firstLine="648"/>
        <w:spacing w:after="0" w:line="253" w:lineRule="auto"/>
        <w:tabs>
          <w:tab w:leader="none" w:pos="11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legal fees) arising or resulting therefrom to the fullest extent permitted by law or under the Company’s articles or any directors’ and officers’ liability insurance coverage that may be in effect from time to time or any indemnification agreement between such individual and the Company.</w:t>
      </w:r>
    </w:p>
    <w:p>
      <w:pPr>
        <w:spacing w:after="0" w:line="186" w:lineRule="exact"/>
        <w:rPr>
          <w:rFonts w:ascii="Times New Roman" w:cs="Times New Roman" w:eastAsia="Times New Roman" w:hAnsi="Times New Roman"/>
          <w:sz w:val="18"/>
          <w:szCs w:val="18"/>
          <w:color w:val="auto"/>
        </w:rPr>
      </w:pPr>
    </w:p>
    <w:p>
      <w:pPr>
        <w:jc w:val="both"/>
        <w:ind w:firstLine="648"/>
        <w:spacing w:after="0" w:line="250" w:lineRule="auto"/>
        <w:tabs>
          <w:tab w:leader="none" w:pos="103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Award Recipients</w:t>
      </w:r>
      <w:r>
        <w:rPr>
          <w:rFonts w:ascii="Times New Roman" w:cs="Times New Roman" w:eastAsia="Times New Roman" w:hAnsi="Times New Roman"/>
          <w:sz w:val="18"/>
          <w:szCs w:val="18"/>
          <w:color w:val="auto"/>
        </w:rPr>
        <w:t>. Notwithstanding any provision of the Plan to the contrary, in order to comply with the laws in countries other than the United States or Canada in which the Company and its Subsidiaries operate or have employees or other individuals eligible for Awards, the Administrator, in its sole discretion, shall have the power and authority to: (i) determine which Subsidiaries shall be covered by the Plan; (ii) determine which individuals outside the United States are eligible to participate in the Plan; (iii) modify the terms and conditions of any Award granted to individuals outside the United States or Canada to comply with applicable foreign laws; (iv) establish subplans and modify exercise procedures and other terms and procedures, to the extent the Administrator determines such actions to be necessary or advisable (and such subplans or modifications shall be attached to this Plan as appendices); provided, however, that no such subplans or modifications shall increase the share limitations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or Canadian provincial securities law, the Code, or any other applicable United States or Canadian governing statute or law.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SHARES ISSUABLE UNDER THE PLAN; MERGERS; SUBSTITUTION</w:t>
      </w:r>
    </w:p>
    <w:p>
      <w:pPr>
        <w:spacing w:after="0" w:line="220" w:lineRule="exact"/>
        <w:rPr>
          <w:sz w:val="20"/>
          <w:szCs w:val="20"/>
          <w:color w:val="auto"/>
        </w:rPr>
      </w:pPr>
    </w:p>
    <w:p>
      <w:pPr>
        <w:jc w:val="both"/>
        <w:ind w:firstLine="648"/>
        <w:spacing w:after="0" w:line="251" w:lineRule="auto"/>
        <w:tabs>
          <w:tab w:leader="none" w:pos="107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 Issuable</w:t>
      </w:r>
      <w:r>
        <w:rPr>
          <w:rFonts w:ascii="Times New Roman" w:cs="Times New Roman" w:eastAsia="Times New Roman" w:hAnsi="Times New Roman"/>
          <w:sz w:val="18"/>
          <w:szCs w:val="18"/>
          <w:color w:val="auto"/>
        </w:rPr>
        <w:t>. The maximum number of Shares reserved and available for issuance under the Plan, together with the Prior Plan, shall be limited to 10,000,000 Common Shares, excluding for this purpose any Shares issued under this Plan or the Prior Plan prior to June 10, 2026. For purposes of this limitation, the Shares underlying any awards under the Plan that are forfeited, canceled, held back upon exercise of an Option or settlement of an Award to cover the exercise price or tax withholding, reacquired by the Company prior to vesting, satisfied without the issuance of Shares or otherwise terminated (other than by exercise) shall be added back to the Shares available for issuance under the Plan and, to the extent permitted under Section 422 of the Code and the regulations promulgated thereunder, the Shares that may be issued as Incentive Stock Options. In the event the Company repurchases Shares on the open market, such shares shall not be added to the Shares available for issuance under the Plan. Subject to such overall limitations, Shares may be issued up to such maximum number pursuant to any type or types of Award. The shares available for issuance under the Plan may be authorized but unissued Shares or Shares reacquired by the Company.</w:t>
      </w:r>
    </w:p>
    <w:p>
      <w:pPr>
        <w:spacing w:after="0" w:line="189" w:lineRule="exact"/>
        <w:rPr>
          <w:rFonts w:ascii="Times New Roman" w:cs="Times New Roman" w:eastAsia="Times New Roman" w:hAnsi="Times New Roman"/>
          <w:sz w:val="18"/>
          <w:szCs w:val="18"/>
          <w:color w:val="auto"/>
        </w:rPr>
      </w:pPr>
    </w:p>
    <w:p>
      <w:pPr>
        <w:jc w:val="both"/>
        <w:ind w:firstLine="648"/>
        <w:spacing w:after="0" w:line="249"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Share Capital</w:t>
      </w:r>
      <w:r>
        <w:rPr>
          <w:rFonts w:ascii="Times New Roman" w:cs="Times New Roman" w:eastAsia="Times New Roman" w:hAnsi="Times New Roman"/>
          <w:sz w:val="18"/>
          <w:szCs w:val="18"/>
          <w:color w:val="auto"/>
        </w:rPr>
        <w:t>. Subject to Section 3(c) hereof, if, as a result of any reorganization, recapitalization, reclassification, stock dividend, stock split, reverse stock split or other similar change in the Company’s capital stock, the outstanding Shares are increased or decreased or are exchanged for a different number or kind of shares or other securities of the Company, or additional shares or new or different shares or other securities of the Company or other non-cash assets are distributed with respect to such Shares or other securities, or, if, as a result of any merger or consolidation, sale of all or substantially all of the assets of the Company, the outstanding Shares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 (ii) 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shall be issued under the Plan resulting from any such adjustment, but the Administrator in its discretion may make a cash payment in lieu of fractional shares.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35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2" w:name="page13"/>
    <w:bookmarkEnd w:id="12"/>
    <w:p>
      <w:pPr>
        <w:jc w:val="both"/>
        <w:ind w:firstLine="648"/>
        <w:spacing w:after="0" w:line="249" w:lineRule="auto"/>
        <w:tabs>
          <w:tab w:leader="none" w:pos="103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Mergers and Other Transactions</w:t>
      </w:r>
      <w:r>
        <w:rPr>
          <w:rFonts w:ascii="Times New Roman" w:cs="Times New Roman" w:eastAsia="Times New Roman" w:hAnsi="Times New Roman"/>
          <w:sz w:val="18"/>
          <w:szCs w:val="18"/>
          <w:color w:val="auto"/>
        </w:rPr>
        <w:t>.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Certificate, all Options and Stock Appreciation Rights with time-based vesting conditions or restrictions that are not vested or exercisable immediately prior to the effective time of the Sale Event may become fully vested and exercisable as of the effective time of the Sale Event at the discretion of the Administrator, all other Awards with time-based vesting, conditions or restrictions may become fully vested and non-forfeitable as of the effective time of the Sale Event at the discretion of the Administrator, and all Awards with conditions and restrictions relating to the attainment of performance goals may become vested and non-forfeitable in connection with a Sale Event in the Administrator’s discretion or to the extent specified in the relevant Award Certificate. 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subject to outstanding Options and Stock Appreciation Rights (to the extent then exercisable at prices not in excess of the Sale Price) and (B) the aggregate exercise price of all such outstanding Options and Stock Appreciation Rights (provided that, in the case of an Option or Stock Appreciation Right with an exercise price equal to or less than the Sale Price, such Option or Stock Appreciation Right shall be cancelled for no consideration); or (ii) each grantee shall be permitted, within a specified period of time prior to the consummation of the Sale Event as determined by the Administrator, to exercise all outstanding Options and Stock Appreciation Rights (to the extent then exercisable) held by such grantee. The Company shall also have the option (in its sole discretion) to make or provide for a payment, in cash or in kind, to the grantees holding other Awards in an amount equal to the Sale Price multiplied by the number of vested Shares under such Awards.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ELIGIBILITY</w:t>
      </w:r>
    </w:p>
    <w:p>
      <w:pPr>
        <w:spacing w:after="0" w:line="220" w:lineRule="exact"/>
        <w:rPr>
          <w:sz w:val="20"/>
          <w:szCs w:val="20"/>
          <w:color w:val="auto"/>
        </w:rPr>
      </w:pPr>
    </w:p>
    <w:p>
      <w:pPr>
        <w:jc w:val="both"/>
        <w:ind w:firstLine="641"/>
        <w:spacing w:after="0" w:line="255" w:lineRule="auto"/>
        <w:rPr>
          <w:sz w:val="20"/>
          <w:szCs w:val="20"/>
          <w:color w:val="auto"/>
        </w:rPr>
      </w:pPr>
      <w:r>
        <w:rPr>
          <w:rFonts w:ascii="Times New Roman" w:cs="Times New Roman" w:eastAsia="Times New Roman" w:hAnsi="Times New Roman"/>
          <w:sz w:val="18"/>
          <w:szCs w:val="18"/>
          <w:color w:val="auto"/>
        </w:rPr>
        <w:t>Grantees under the Plan will be such employees, Non-Employee Directors and Consultants of the Company and its Affiliates as are selected from time to time by the Administrator in its sole discretion; provided that: (a) Awards may not be granted to employees, Directors or Consultants who are providing services only to any “parent” of the Company, as such term is defined in Rule 405 of the Act, unless (i) the Shares underlying the Awards are treated as “service recipient stock” under Section 409A or (ii) the Company has determined that such Awards are exempt from or otherwise comply with Section 409A; and (b) Stock Purchase Rights are available only to employees of the Company and subsidiaries as provided in Section 12 of the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STOCK OPTIONS</w:t>
      </w:r>
    </w:p>
    <w:p>
      <w:pPr>
        <w:spacing w:after="0" w:line="220" w:lineRule="exact"/>
        <w:rPr>
          <w:sz w:val="20"/>
          <w:szCs w:val="20"/>
          <w:color w:val="auto"/>
        </w:rPr>
      </w:pPr>
    </w:p>
    <w:p>
      <w:pPr>
        <w:jc w:val="both"/>
        <w:ind w:firstLine="648"/>
        <w:spacing w:after="0" w:line="270" w:lineRule="auto"/>
        <w:tabs>
          <w:tab w:leader="none" w:pos="1017"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Award of Stock Options</w:t>
      </w:r>
      <w:r>
        <w:rPr>
          <w:rFonts w:ascii="Times New Roman" w:cs="Times New Roman" w:eastAsia="Times New Roman" w:hAnsi="Times New Roman"/>
          <w:sz w:val="17"/>
          <w:szCs w:val="17"/>
          <w:color w:val="auto"/>
        </w:rPr>
        <w:t>. The Administrator may grant Stock Options under the Plan. Any Stock Option granted under the Plan shall be in such form as the Administrator may from time to time approve. 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 Stock Options granted pursuant to this Section 5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w:t>
      </w:r>
    </w:p>
    <w:p>
      <w:pPr>
        <w:spacing w:after="0" w:line="170" w:lineRule="exact"/>
        <w:rPr>
          <w:rFonts w:ascii="Times New Roman" w:cs="Times New Roman" w:eastAsia="Times New Roman" w:hAnsi="Times New Roman"/>
          <w:sz w:val="17"/>
          <w:szCs w:val="17"/>
          <w:color w:val="auto"/>
        </w:rPr>
      </w:pPr>
    </w:p>
    <w:p>
      <w:pPr>
        <w:jc w:val="both"/>
        <w:ind w:firstLine="648"/>
        <w:spacing w:after="0" w:line="255" w:lineRule="auto"/>
        <w:tabs>
          <w:tab w:leader="none" w:pos="113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covered by a Stock Option granted pursuant to this Section 5 shall be determined by the Administrator at the time of grant but shall not be less than 100 percent of the Fair Market Value on the date of grant. In the case of an Incentive Stock Option that is granted to a Ten Percent Owner, the exercise price of such Incentive Stock Option shall be not less than 110 percent of the Fair Market Value on the grant date. Notwithstanding the foregoing, Stock Options may be granted with an exercise price per share that is less than 100 percent of the Fair Market Value on the date of grant pursuant to a transaction described in, and in a manner consistent with, Section 424(a) of the Code.</w:t>
      </w:r>
    </w:p>
    <w:p>
      <w:pPr>
        <w:spacing w:after="0" w:line="182" w:lineRule="exact"/>
        <w:rPr>
          <w:rFonts w:ascii="Times New Roman" w:cs="Times New Roman" w:eastAsia="Times New Roman" w:hAnsi="Times New Roman"/>
          <w:sz w:val="18"/>
          <w:szCs w:val="18"/>
          <w:color w:val="auto"/>
        </w:rPr>
      </w:pPr>
    </w:p>
    <w:p>
      <w:pPr>
        <w:jc w:val="both"/>
        <w:ind w:firstLine="648"/>
        <w:spacing w:after="0" w:line="253" w:lineRule="auto"/>
        <w:tabs>
          <w:tab w:leader="none" w:pos="101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Term</w:t>
      </w:r>
      <w:r>
        <w:rPr>
          <w:rFonts w:ascii="Times New Roman" w:cs="Times New Roman" w:eastAsia="Times New Roman" w:hAnsi="Times New Roman"/>
          <w:sz w:val="18"/>
          <w:szCs w:val="18"/>
          <w:color w:val="auto"/>
        </w:rPr>
        <w:t>. The term of each Stock Option shall be fixed by the Administrator, but no Stock Option shall be exercisable more than ten years after the date the Stock Option is granted, provided that, if the end of such period for any vested Stock Option falls on, or within nine (9) trading days immediately following, a date upon which the Participant is prohibited from exercising such Stock Option due to a black-out period or other trading restriction imposed by the Company, then the expiry date of such Stock Option shall be automatically be the tenth (10th) trading day following the date the relevant black-out period or other trading restriction imposed by the Company is lifted, terminated or removed. In the case of an Incentive Stock Option that is granted to a Ten Percent Owner, the term of such Stock Option shall be no more than five years from the date of grant.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35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3" w:name="page14"/>
    <w:bookmarkEnd w:id="13"/>
    <w:p>
      <w:pPr>
        <w:jc w:val="both"/>
        <w:ind w:firstLine="648"/>
        <w:spacing w:after="0" w:line="257"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 Rights of a Shareholder</w:t>
      </w:r>
      <w:r>
        <w:rPr>
          <w:rFonts w:ascii="Times New Roman" w:cs="Times New Roman" w:eastAsia="Times New Roman" w:hAnsi="Times New Roman"/>
          <w:sz w:val="18"/>
          <w:szCs w:val="18"/>
          <w:color w:val="auto"/>
        </w:rPr>
        <w:t>.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shareholder only as to shares acquired upon the exercise of a Stock Option and not as to unexercised Stock Options.</w:t>
      </w:r>
    </w:p>
    <w:p>
      <w:pPr>
        <w:spacing w:after="0" w:line="182" w:lineRule="exact"/>
        <w:rPr>
          <w:rFonts w:ascii="Times New Roman" w:cs="Times New Roman" w:eastAsia="Times New Roman" w:hAnsi="Times New Roman"/>
          <w:sz w:val="18"/>
          <w:szCs w:val="18"/>
          <w:color w:val="auto"/>
        </w:rPr>
      </w:pPr>
    </w:p>
    <w:p>
      <w:pPr>
        <w:jc w:val="both"/>
        <w:ind w:firstLine="648"/>
        <w:spacing w:after="0" w:line="262" w:lineRule="auto"/>
        <w:tabs>
          <w:tab w:leader="none" w:pos="105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Option Award Certificate:</w:t>
      </w:r>
    </w:p>
    <w:p>
      <w:pPr>
        <w:spacing w:after="0" w:line="177" w:lineRule="exact"/>
        <w:rPr>
          <w:rFonts w:ascii="Times New Roman" w:cs="Times New Roman" w:eastAsia="Times New Roman" w:hAnsi="Times New Roman"/>
          <w:sz w:val="18"/>
          <w:szCs w:val="18"/>
          <w:color w:val="auto"/>
        </w:rPr>
      </w:pPr>
    </w:p>
    <w:p>
      <w:pPr>
        <w:ind w:left="1820" w:hanging="531"/>
        <w:spacing w:after="0"/>
        <w:tabs>
          <w:tab w:leader="none" w:pos="18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cash, by certified or bank check or other instrument acceptable to the Administrator;</w:t>
      </w:r>
    </w:p>
    <w:p>
      <w:pPr>
        <w:spacing w:after="0" w:line="220" w:lineRule="exact"/>
        <w:rPr>
          <w:rFonts w:ascii="Times New Roman" w:cs="Times New Roman" w:eastAsia="Times New Roman" w:hAnsi="Times New Roman"/>
          <w:sz w:val="18"/>
          <w:szCs w:val="18"/>
          <w:color w:val="auto"/>
        </w:rPr>
      </w:pPr>
    </w:p>
    <w:p>
      <w:pPr>
        <w:ind w:firstLine="1289"/>
        <w:spacing w:after="0" w:line="277" w:lineRule="auto"/>
        <w:tabs>
          <w:tab w:leader="none" w:pos="183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delivery (or attestation to the ownership following such procedures as the Company may prescribe) of Shares that are not then subject to restrictions under any Company plan, such surrendered shares shall be valued at Fair Market Value on the exercise date;</w:t>
      </w:r>
    </w:p>
    <w:p>
      <w:pPr>
        <w:spacing w:after="0" w:line="163" w:lineRule="exact"/>
        <w:rPr>
          <w:rFonts w:ascii="Times New Roman" w:cs="Times New Roman" w:eastAsia="Times New Roman" w:hAnsi="Times New Roman"/>
          <w:sz w:val="18"/>
          <w:szCs w:val="18"/>
          <w:color w:val="auto"/>
        </w:rPr>
      </w:pPr>
    </w:p>
    <w:p>
      <w:pPr>
        <w:jc w:val="both"/>
        <w:ind w:firstLine="1289"/>
        <w:spacing w:after="0" w:line="257" w:lineRule="auto"/>
        <w:tabs>
          <w:tab w:leader="none" w:pos="183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w:t>
      </w:r>
    </w:p>
    <w:p>
      <w:pPr>
        <w:spacing w:after="0" w:line="182" w:lineRule="exact"/>
        <w:rPr>
          <w:rFonts w:ascii="Times New Roman" w:cs="Times New Roman" w:eastAsia="Times New Roman" w:hAnsi="Times New Roman"/>
          <w:sz w:val="18"/>
          <w:szCs w:val="18"/>
          <w:color w:val="auto"/>
        </w:rPr>
      </w:pPr>
    </w:p>
    <w:p>
      <w:pPr>
        <w:ind w:firstLine="1289"/>
        <w:spacing w:after="0" w:line="277" w:lineRule="auto"/>
        <w:tabs>
          <w:tab w:leader="none" w:pos="18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“net exercise” arrangement pursuant to which the Company will reduce the number of Shares issuable upon exercise by the largest whole number of shares with a Fair Market Value that does not exceed the aggregate exercise price.</w:t>
      </w:r>
    </w:p>
    <w:p>
      <w:pPr>
        <w:spacing w:after="0" w:line="16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Payment instruments will be received subject to collection. The transfer to the optionee on the records of the Company or of the transfer agent of the Shares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Option Award Certificate or applicable provisions of laws (including the satisfaction of any withholding taxes that the Company is obligated to withhold with respect to the optionee). In the event an optionee chooses to pay the purchase price by previously-owned Shares through the attestation method, the number of Shares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177" w:lineRule="exact"/>
        <w:rPr>
          <w:sz w:val="20"/>
          <w:szCs w:val="20"/>
          <w:color w:val="auto"/>
        </w:rPr>
      </w:pPr>
    </w:p>
    <w:p>
      <w:pPr>
        <w:jc w:val="both"/>
        <w:ind w:firstLine="648"/>
        <w:spacing w:after="0" w:line="257" w:lineRule="auto"/>
        <w:tabs>
          <w:tab w:leader="none" w:pos="105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Limit on Incentive Stock Options</w:t>
      </w:r>
      <w:r>
        <w:rPr>
          <w:rFonts w:ascii="Times New Roman" w:cs="Times New Roman" w:eastAsia="Times New Roman" w:hAnsi="Times New Roman"/>
          <w:sz w:val="18"/>
          <w:szCs w:val="18"/>
          <w:color w:val="auto"/>
        </w:rPr>
        <w:t>. To the extent required for “incentive stock option” treatment under Section 422 of the Code, the aggregate Fair Market Value (determined as of the time of grant) of the Shares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STOCK APPRECIATION RIGHTS</w:t>
      </w:r>
    </w:p>
    <w:p>
      <w:pPr>
        <w:spacing w:after="0" w:line="220" w:lineRule="exact"/>
        <w:rPr>
          <w:sz w:val="20"/>
          <w:szCs w:val="20"/>
          <w:color w:val="auto"/>
        </w:rPr>
      </w:pPr>
    </w:p>
    <w:p>
      <w:pPr>
        <w:jc w:val="both"/>
        <w:ind w:firstLine="648"/>
        <w:spacing w:after="0" w:line="257" w:lineRule="auto"/>
        <w:tabs>
          <w:tab w:leader="none" w:pos="104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of Stock Appreciation Rights</w:t>
      </w:r>
      <w:r>
        <w:rPr>
          <w:rFonts w:ascii="Times New Roman" w:cs="Times New Roman" w:eastAsia="Times New Roman" w:hAnsi="Times New Roman"/>
          <w:sz w:val="18"/>
          <w:szCs w:val="18"/>
          <w:color w:val="auto"/>
        </w:rPr>
        <w:t>. The Administrator may grant Stock Appreciation Rights under the Plan. A Stock Appreciation Right is an Award entitling the recipient to receive Shares (or cash, to the extent explicitly provided for in the applicable Award Certificate) having a value equal to the excess of the Fair Market Value of a share of Stock on the date of exercise over the exercise price of the Stock Appreciation Right multiplied by the number of Shares with respect to which the Stock Appreciation Right shall have been exercised.</w:t>
      </w:r>
    </w:p>
    <w:p>
      <w:pPr>
        <w:spacing w:after="0" w:line="182" w:lineRule="exact"/>
        <w:rPr>
          <w:rFonts w:ascii="Times New Roman" w:cs="Times New Roman" w:eastAsia="Times New Roman" w:hAnsi="Times New Roman"/>
          <w:sz w:val="18"/>
          <w:szCs w:val="18"/>
          <w:color w:val="auto"/>
        </w:rPr>
      </w:pPr>
    </w:p>
    <w:p>
      <w:pPr>
        <w:ind w:firstLine="648"/>
        <w:spacing w:after="0" w:line="277" w:lineRule="auto"/>
        <w:tabs>
          <w:tab w:leader="none" w:pos="106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 of Stock Appreciation Rights</w:t>
      </w:r>
      <w:r>
        <w:rPr>
          <w:rFonts w:ascii="Times New Roman" w:cs="Times New Roman" w:eastAsia="Times New Roman" w:hAnsi="Times New Roman"/>
          <w:sz w:val="18"/>
          <w:szCs w:val="18"/>
          <w:color w:val="auto"/>
        </w:rPr>
        <w:t>. The exercise price of a Stock Appreciation Right shall not be less than 100 percent of the Fair Market Value of the Stock on the date of grant.</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35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4" w:name="page15"/>
    <w:bookmarkEnd w:id="14"/>
    <w:p>
      <w:pPr>
        <w:ind w:firstLine="648"/>
        <w:spacing w:after="0" w:line="277" w:lineRule="auto"/>
        <w:tabs>
          <w:tab w:leader="none" w:pos="103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and Exercise of Stock Appreciation Rights</w:t>
      </w:r>
      <w:r>
        <w:rPr>
          <w:rFonts w:ascii="Times New Roman" w:cs="Times New Roman" w:eastAsia="Times New Roman" w:hAnsi="Times New Roman"/>
          <w:sz w:val="18"/>
          <w:szCs w:val="18"/>
          <w:color w:val="auto"/>
        </w:rPr>
        <w:t>. Stock Appreciation Rights may be granted by the Administrator independently of any Stock Option granted pursuant to Section 5 of the Plan.</w:t>
      </w:r>
    </w:p>
    <w:p>
      <w:pPr>
        <w:spacing w:after="0" w:line="163" w:lineRule="exact"/>
        <w:rPr>
          <w:rFonts w:ascii="Times New Roman" w:cs="Times New Roman" w:eastAsia="Times New Roman" w:hAnsi="Times New Roman"/>
          <w:sz w:val="18"/>
          <w:szCs w:val="18"/>
          <w:color w:val="auto"/>
        </w:rPr>
      </w:pPr>
    </w:p>
    <w:p>
      <w:pPr>
        <w:jc w:val="both"/>
        <w:ind w:firstLine="648"/>
        <w:spacing w:after="0" w:line="252" w:lineRule="auto"/>
        <w:tabs>
          <w:tab w:leader="none" w:pos="104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 of Stock Appreciation Rights</w:t>
      </w:r>
      <w:r>
        <w:rPr>
          <w:rFonts w:ascii="Times New Roman" w:cs="Times New Roman" w:eastAsia="Times New Roman" w:hAnsi="Times New Roman"/>
          <w:sz w:val="18"/>
          <w:szCs w:val="18"/>
          <w:color w:val="auto"/>
        </w:rPr>
        <w:t>. Stock Appreciation Rights shall be subject to such terms and conditions as shall be determined on the date of grant by the Administrator. The term of a Stock Appreciation Right may not exceed ten years, provided that, if the end of such period for any Stock Appreciation Right settled in Shares falls on, or within nine (9) trading days immediately following, a date upon which the Participant is prohibited from exercising the Stock Appreciation Right due to a black-out period or other trading restriction imposed by the Company, then the expiry date of such Stock Appreciation Right shall be automatically be the tenth (10th) trading day following the date the relevant black-out period or other trading restriction imposed by the Company is lifted, terminated or removed. The terms and conditions of each such Award shall be determined by the Administrator, and such terms and conditions may differ among individual Awards and grantees.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RESTRICTED STOCK AWARDS</w:t>
      </w:r>
    </w:p>
    <w:p>
      <w:pPr>
        <w:spacing w:after="0" w:line="220" w:lineRule="exact"/>
        <w:rPr>
          <w:sz w:val="20"/>
          <w:szCs w:val="20"/>
          <w:color w:val="auto"/>
        </w:rPr>
      </w:pPr>
    </w:p>
    <w:p>
      <w:pPr>
        <w:jc w:val="both"/>
        <w:ind w:firstLine="648"/>
        <w:spacing w:after="0" w:line="262" w:lineRule="auto"/>
        <w:tabs>
          <w:tab w:leader="none" w:pos="105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Restricted Stock Awards</w:t>
      </w:r>
      <w:r>
        <w:rPr>
          <w:rFonts w:ascii="Times New Roman" w:cs="Times New Roman" w:eastAsia="Times New Roman" w:hAnsi="Times New Roman"/>
          <w:sz w:val="18"/>
          <w:szCs w:val="18"/>
          <w:color w:val="auto"/>
        </w:rPr>
        <w:t>. 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or achievement of pre-established performance goals and objectives.</w:t>
      </w:r>
    </w:p>
    <w:p>
      <w:pPr>
        <w:spacing w:after="0" w:line="177" w:lineRule="exact"/>
        <w:rPr>
          <w:rFonts w:ascii="Times New Roman" w:cs="Times New Roman" w:eastAsia="Times New Roman" w:hAnsi="Times New Roman"/>
          <w:sz w:val="18"/>
          <w:szCs w:val="18"/>
          <w:color w:val="auto"/>
        </w:rPr>
      </w:pPr>
    </w:p>
    <w:p>
      <w:pPr>
        <w:jc w:val="both"/>
        <w:ind w:firstLine="648"/>
        <w:spacing w:after="0" w:line="252"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Shareholder</w:t>
      </w:r>
      <w:r>
        <w:rPr>
          <w:rFonts w:ascii="Times New Roman" w:cs="Times New Roman" w:eastAsia="Times New Roman" w:hAnsi="Times New Roman"/>
          <w:sz w:val="18"/>
          <w:szCs w:val="18"/>
          <w:color w:val="auto"/>
        </w:rPr>
        <w:t>. Upon the grant of the Restricted Stock Award and payment of any applicable purchase price, a grantee shall have the rights of a shareholder with respect to the voting of the Restricted Shares and receipt of dividends; provided that if the lapse of restrictions with respect to the Restricted Stock Award is tied to the attainment of performance goals, any dividends paid by the Company during the performance period shall accrue and shall not be paid to the grantee until and to the extent the performance goals are met with respect to the Restricted Stock Award. Unless the Administrator shall otherwise determine, (i) 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spacing w:after="0" w:line="184" w:lineRule="exact"/>
        <w:rPr>
          <w:rFonts w:ascii="Times New Roman" w:cs="Times New Roman" w:eastAsia="Times New Roman" w:hAnsi="Times New Roman"/>
          <w:sz w:val="18"/>
          <w:szCs w:val="18"/>
          <w:color w:val="auto"/>
        </w:rPr>
      </w:pPr>
    </w:p>
    <w:p>
      <w:pPr>
        <w:jc w:val="both"/>
        <w:ind w:firstLine="648"/>
        <w:spacing w:after="0" w:line="251" w:lineRule="auto"/>
        <w:tabs>
          <w:tab w:leader="none" w:pos="104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Restricted Shares may not be sold, assigned, transferred, pledged or otherwise encumbered or disposed of except as specifically provided herein or in the Restricted Stock Award Certificate. Except as may otherwise be provided by the Administrator either in the Award Certificate or, subject to Section 17 below, in writing after the Award is issued, if a grantee’s employment (or other Service Relationship) with the Company and its Subsidiaries terminates for any reason, any Restricted Shares that have not vested at the time of termination shall automatically and without any requirement of notice to such grantee from or other action by or on behalf of, the Company be deemed to have been reacquired by the Company at its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shareholder. Following such deemed reacquisition of Restricted Shares that are represented by physical certificates, a grantee shall surrender such certificates to the Company upon request without consideration.</w:t>
      </w:r>
    </w:p>
    <w:p>
      <w:pPr>
        <w:spacing w:after="0" w:line="189" w:lineRule="exact"/>
        <w:rPr>
          <w:rFonts w:ascii="Times New Roman" w:cs="Times New Roman" w:eastAsia="Times New Roman" w:hAnsi="Times New Roman"/>
          <w:sz w:val="18"/>
          <w:szCs w:val="18"/>
          <w:color w:val="auto"/>
        </w:rPr>
      </w:pPr>
    </w:p>
    <w:p>
      <w:pPr>
        <w:jc w:val="both"/>
        <w:ind w:firstLine="648"/>
        <w:spacing w:after="0" w:line="257" w:lineRule="auto"/>
        <w:tabs>
          <w:tab w:leader="none" w:pos="113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Restricted Shares</w:t>
      </w:r>
      <w:r>
        <w:rPr>
          <w:rFonts w:ascii="Times New Roman" w:cs="Times New Roman" w:eastAsia="Times New Roman" w:hAnsi="Times New Roman"/>
          <w:sz w:val="18"/>
          <w:szCs w:val="18"/>
          <w:color w:val="auto"/>
        </w:rPr>
        <w:t>. The Administrator at the time of grant shall specify the date or dates or the attainment of pre-established performance goals, objectives and other conditions on which the non-transferability of the Restricted Shares and the Company’s right of repurchase or forfeiture shall lapse. Subsequent to such date or dates or the attainment of such pre-established performance goals, objectives and other conditions, the shares on which all restrictions have lapsed shall no longer be Restricted Shares and shall be deemed “vested.”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RESTRICTED STOCK UNITS</w:t>
      </w:r>
    </w:p>
    <w:p>
      <w:pPr>
        <w:spacing w:after="0" w:line="220" w:lineRule="exact"/>
        <w:rPr>
          <w:sz w:val="20"/>
          <w:szCs w:val="20"/>
          <w:color w:val="auto"/>
        </w:rPr>
      </w:pPr>
    </w:p>
    <w:p>
      <w:pPr>
        <w:jc w:val="both"/>
        <w:ind w:firstLine="648"/>
        <w:spacing w:after="0" w:line="252" w:lineRule="auto"/>
        <w:tabs>
          <w:tab w:leader="none" w:pos="101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Restricted Stock Units</w:t>
      </w:r>
      <w:r>
        <w:rPr>
          <w:rFonts w:ascii="Times New Roman" w:cs="Times New Roman" w:eastAsia="Times New Roman" w:hAnsi="Times New Roman"/>
          <w:sz w:val="18"/>
          <w:szCs w:val="18"/>
          <w:color w:val="auto"/>
        </w:rPr>
        <w:t>. The Administrator may grant Restricted Stock Units under the Plan. A Restricted Stock Unit is an Award that may be settled in Shares (or cash, to the extent explicitly provided for in the Award Certificate) upon the satisfaction of such restrictions and conditions at the time of grant. Conditions may be based on continuing employment (or other Service Relationship) or achievement of pre-established performance goals and objectives. The terms and conditions of each such Award shall be determined by the Administrator, and such terms and conditions may differ among individual Awards and grantees. Except in the case of Restricted Stock Units with a deferred settlement date that complies with Section 409A at the end of the vesting period, the Restricted Stock Units, to the extent vested, shall be settled in the form of Shares (or cash, to the extent explicitly provided for in the Award Certificate). Restricted Stock Units with deferred settlement dates are subject to Section 409A and shall contain such additional terms and conditions as the Administrator shall determine in its sole discretion in order to comply with the requirements of Section 409A.</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35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5" w:name="page16"/>
    <w:bookmarkEnd w:id="15"/>
    <w:p>
      <w:pPr>
        <w:jc w:val="both"/>
        <w:ind w:firstLine="648"/>
        <w:spacing w:after="0" w:line="25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to Receive Restricted Stock Units In lieu of Compensation</w:t>
      </w:r>
      <w:r>
        <w:rPr>
          <w:rFonts w:ascii="Times New Roman" w:cs="Times New Roman" w:eastAsia="Times New Roman" w:hAnsi="Times New Roman"/>
          <w:sz w:val="18"/>
          <w:szCs w:val="18"/>
          <w:color w:val="auto"/>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Certificate.</w:t>
      </w:r>
    </w:p>
    <w:p>
      <w:pPr>
        <w:spacing w:after="0" w:line="184" w:lineRule="exact"/>
        <w:rPr>
          <w:rFonts w:ascii="Times New Roman" w:cs="Times New Roman" w:eastAsia="Times New Roman" w:hAnsi="Times New Roman"/>
          <w:sz w:val="18"/>
          <w:szCs w:val="18"/>
          <w:color w:val="auto"/>
        </w:rPr>
      </w:pPr>
    </w:p>
    <w:p>
      <w:pPr>
        <w:jc w:val="both"/>
        <w:ind w:firstLine="648"/>
        <w:spacing w:after="0" w:line="262" w:lineRule="auto"/>
        <w:tabs>
          <w:tab w:leader="none" w:pos="118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Shareholder</w:t>
      </w:r>
      <w:r>
        <w:rPr>
          <w:rFonts w:ascii="Times New Roman" w:cs="Times New Roman" w:eastAsia="Times New Roman" w:hAnsi="Times New Roman"/>
          <w:sz w:val="18"/>
          <w:szCs w:val="18"/>
          <w:color w:val="auto"/>
        </w:rPr>
        <w:t>. A grantee shall have the rights as a shareholder only as to Shares acquired by the grantee upon settlement of Restricted Stock Units; provided, however, that the grantee may be credited with Dividend Equivalent Rights with respect to the Shares underlying his Restricted Stock Units, subject to the provisions of Section 11 and such terms and conditions as the Administrator may determine.</w:t>
      </w:r>
    </w:p>
    <w:p>
      <w:pPr>
        <w:spacing w:after="0" w:line="177" w:lineRule="exact"/>
        <w:rPr>
          <w:rFonts w:ascii="Times New Roman" w:cs="Times New Roman" w:eastAsia="Times New Roman" w:hAnsi="Times New Roman"/>
          <w:sz w:val="18"/>
          <w:szCs w:val="18"/>
          <w:color w:val="auto"/>
        </w:rPr>
      </w:pPr>
    </w:p>
    <w:p>
      <w:pPr>
        <w:jc w:val="both"/>
        <w:ind w:firstLine="648"/>
        <w:spacing w:after="0" w:line="26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Except as may otherwise be provided by the Administrator either in the Award Certificate or, subject to Section 17 below, in writing after the Award is issued, a grantee’s right in all Restricted Stock Units that have not vested shall automatically terminate upon the grantee’s termination of employment (or cessation of Service Relationship) with the Company and its Subsidiaries for any reason.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UNRESTRICTED STOCK AWARDS</w:t>
      </w:r>
    </w:p>
    <w:p>
      <w:pPr>
        <w:spacing w:after="0" w:line="220"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The Administrator may grant (or sell at a purchase price determined by the Administrator) an Unrestricted Stock Award under the Plan. An Unrestricted Stock Award is an Award pursuant to which the grantee may receive Shares free of any restrictions under the Plan. Unrestricted Stock Awards may be granted in respect of past services or other valid consideration, or in lieu of cash compensation due to such grantee.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CASH-BASED AWARDS</w:t>
      </w:r>
    </w:p>
    <w:p>
      <w:pPr>
        <w:spacing w:after="0" w:line="220" w:lineRule="exact"/>
        <w:rPr>
          <w:sz w:val="20"/>
          <w:szCs w:val="20"/>
          <w:color w:val="auto"/>
        </w:rPr>
      </w:pPr>
    </w:p>
    <w:p>
      <w:pPr>
        <w:jc w:val="both"/>
        <w:ind w:firstLine="641"/>
        <w:spacing w:after="0" w:line="273" w:lineRule="auto"/>
        <w:rPr>
          <w:sz w:val="20"/>
          <w:szCs w:val="20"/>
          <w:color w:val="auto"/>
        </w:rPr>
      </w:pPr>
      <w:r>
        <w:rPr>
          <w:rFonts w:ascii="Times New Roman" w:cs="Times New Roman" w:eastAsia="Times New Roman" w:hAnsi="Times New Roman"/>
          <w:sz w:val="17"/>
          <w:szCs w:val="17"/>
          <w:color w:val="auto"/>
        </w:rPr>
        <w:t>The Administrator may grant Cash-Based Awards under the Plan. A Cash-Based Award is an Award that entitles the grantee to a payment in cash upon the attainment of specified performance goals.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DIVIDEND EQUIVALENT RIGHTS</w:t>
      </w:r>
    </w:p>
    <w:p>
      <w:pPr>
        <w:spacing w:after="0" w:line="220" w:lineRule="exact"/>
        <w:rPr>
          <w:sz w:val="20"/>
          <w:szCs w:val="20"/>
          <w:color w:val="auto"/>
        </w:rPr>
      </w:pPr>
    </w:p>
    <w:p>
      <w:pPr>
        <w:jc w:val="both"/>
        <w:ind w:firstLine="648"/>
        <w:spacing w:after="0" w:line="267" w:lineRule="auto"/>
        <w:tabs>
          <w:tab w:leader="none" w:pos="1084"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Dividend Equivalent Rights</w:t>
      </w:r>
      <w:r>
        <w:rPr>
          <w:rFonts w:ascii="Times New Roman" w:cs="Times New Roman" w:eastAsia="Times New Roman" w:hAnsi="Times New Roman"/>
          <w:sz w:val="17"/>
          <w:szCs w:val="17"/>
          <w:color w:val="auto"/>
        </w:rPr>
        <w:t>. The Administrator may grant Dividend Equivalent Rights under the Plan. A Dividend Equivalent Right is an Award entitling the grantee to receive credits based on cash dividends that would have been paid on the Shares specified in the Dividend Equivalent Right (or other Award to which it relates) if such shares had been issued to the grantee. A Dividend Equivalent Right may be granted hereunder to any grantee as a component of an award of Restricted Stock Units or as a freestanding award. The terms and conditions of Dividend Equivalent Rights shall be specified in the Award Certificate. Dividend Equivalents credited to the holder of a Dividend Equivalent Right may be paid currently or may be deemed to be reinvested in additional Shares,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or a combination thereof, in a single installment or installments. A Dividend Equivalent Right granted as a component of an Award of Restricted Stock Units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35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6" w:name="page17"/>
    <w:bookmarkEnd w:id="16"/>
    <w:p>
      <w:pPr>
        <w:jc w:val="both"/>
        <w:ind w:firstLine="648"/>
        <w:spacing w:after="0" w:line="26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Except as may otherwise be provided by the Administrator either in the Award Certificate or, subject to Section 17 below, in writing after the Award is issued, a grantee’s rights in all Dividend Equivalent Rights shall automatically terminate upon the grantee’s termination of employment (or cessation of Service Relationship) with the Company and its Subsidiaries for any reason.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STOCK PURCHASE RIGHTS</w:t>
      </w:r>
    </w:p>
    <w:p>
      <w:pPr>
        <w:spacing w:after="0" w:line="220" w:lineRule="exact"/>
        <w:rPr>
          <w:sz w:val="20"/>
          <w:szCs w:val="20"/>
          <w:color w:val="auto"/>
        </w:rPr>
      </w:pPr>
    </w:p>
    <w:p>
      <w:pPr>
        <w:jc w:val="both"/>
        <w:ind w:firstLine="648"/>
        <w:spacing w:after="0" w:line="257" w:lineRule="auto"/>
        <w:tabs>
          <w:tab w:leader="none" w:pos="119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Purchase Rights</w:t>
      </w:r>
      <w:r>
        <w:rPr>
          <w:rFonts w:ascii="Times New Roman" w:cs="Times New Roman" w:eastAsia="Times New Roman" w:hAnsi="Times New Roman"/>
          <w:sz w:val="18"/>
          <w:szCs w:val="18"/>
          <w:color w:val="auto"/>
        </w:rPr>
        <w:t>. The Administrator may grant Stock Purchase Rights to employees of the Company or any Subsidiary that is a “subsidiary corporation” within the meaning of Section 424(f) of the Code. A Stock Purchase Right is an Award entitling the grantee to purchase Shares at the price and on the other terms and conditions determined by the Administrator and set forth in the Award Certificate respecting such Award, subject to the requirements set forth in this Section 12.</w:t>
      </w:r>
    </w:p>
    <w:p>
      <w:pPr>
        <w:spacing w:after="0" w:line="182" w:lineRule="exact"/>
        <w:rPr>
          <w:rFonts w:ascii="Times New Roman" w:cs="Times New Roman" w:eastAsia="Times New Roman" w:hAnsi="Times New Roman"/>
          <w:sz w:val="18"/>
          <w:szCs w:val="18"/>
          <w:color w:val="auto"/>
        </w:rPr>
      </w:pPr>
    </w:p>
    <w:p>
      <w:pPr>
        <w:jc w:val="both"/>
        <w:ind w:firstLine="648"/>
        <w:spacing w:after="0" w:line="270" w:lineRule="auto"/>
        <w:tabs>
          <w:tab w:leader="none" w:pos="1094"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Offering Periods</w:t>
      </w:r>
      <w:r>
        <w:rPr>
          <w:rFonts w:ascii="Times New Roman" w:cs="Times New Roman" w:eastAsia="Times New Roman" w:hAnsi="Times New Roman"/>
          <w:sz w:val="17"/>
          <w:szCs w:val="17"/>
          <w:color w:val="auto"/>
        </w:rPr>
        <w:t>. Unless and until the Administrator determines otherwise in its discretion, each Offering Period shall consist of a six (6) month periods, commencing on the first day of a calendar month specified by the Administrator (the “</w:t>
      </w:r>
      <w:r>
        <w:rPr>
          <w:rFonts w:ascii="Times New Roman" w:cs="Times New Roman" w:eastAsia="Times New Roman" w:hAnsi="Times New Roman"/>
          <w:sz w:val="17"/>
          <w:szCs w:val="17"/>
          <w:i w:val="1"/>
          <w:iCs w:val="1"/>
          <w:color w:val="auto"/>
        </w:rPr>
        <w:t>Offering Commencement Date</w:t>
      </w:r>
      <w:r>
        <w:rPr>
          <w:rFonts w:ascii="Times New Roman" w:cs="Times New Roman" w:eastAsia="Times New Roman" w:hAnsi="Times New Roman"/>
          <w:sz w:val="17"/>
          <w:szCs w:val="17"/>
          <w:color w:val="auto"/>
        </w:rPr>
        <w:t>”) and, subject to Sections 12(c) and 12(g), ending on the last day of the sixth calendar month thereafter (the “</w:t>
      </w:r>
      <w:r>
        <w:rPr>
          <w:rFonts w:ascii="Times New Roman" w:cs="Times New Roman" w:eastAsia="Times New Roman" w:hAnsi="Times New Roman"/>
          <w:sz w:val="17"/>
          <w:szCs w:val="17"/>
          <w:i w:val="1"/>
          <w:iCs w:val="1"/>
          <w:color w:val="auto"/>
        </w:rPr>
        <w:t>Offering Expiry Date</w:t>
      </w:r>
      <w:r>
        <w:rPr>
          <w:rFonts w:ascii="Times New Roman" w:cs="Times New Roman" w:eastAsia="Times New Roman" w:hAnsi="Times New Roman"/>
          <w:sz w:val="17"/>
          <w:szCs w:val="17"/>
          <w:color w:val="auto"/>
        </w:rPr>
        <w:t>”). No Offering Period shall exceed twelve</w:t>
      </w:r>
    </w:p>
    <w:p>
      <w:pPr>
        <w:ind w:left="340" w:hanging="333"/>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in duration.</w:t>
      </w:r>
    </w:p>
    <w:p>
      <w:pPr>
        <w:spacing w:after="0" w:line="201" w:lineRule="exact"/>
        <w:rPr>
          <w:rFonts w:ascii="Times New Roman" w:cs="Times New Roman" w:eastAsia="Times New Roman" w:hAnsi="Times New Roman"/>
          <w:sz w:val="18"/>
          <w:szCs w:val="18"/>
          <w:color w:val="auto"/>
        </w:rPr>
      </w:pPr>
    </w:p>
    <w:p>
      <w:pPr>
        <w:jc w:val="both"/>
        <w:ind w:firstLine="648"/>
        <w:spacing w:after="0" w:line="249" w:lineRule="auto"/>
        <w:tabs>
          <w:tab w:leader="none" w:pos="112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Employees Eligible to Participate in Stock Purchase Rights</w:t>
      </w:r>
      <w:r>
        <w:rPr>
          <w:rFonts w:ascii="Times New Roman" w:cs="Times New Roman" w:eastAsia="Times New Roman" w:hAnsi="Times New Roman"/>
          <w:sz w:val="18"/>
          <w:szCs w:val="18"/>
          <w:color w:val="auto"/>
        </w:rPr>
        <w:t>. No employee who, immediately after commencement of any Offering Period, owns stock possessing five percent or more of the total combined voting power or value of all classes of stock of the Company or any parent or subsidiary corporation, may participate in any offering of Stock Purchase Rights under the Plan. Subject to the foregoing, each employee of the Company and any Subsidiary that is a “subsidiary corporation” within the meaning of Section 424(f) of the Code are eligible to participate in any offering of Stock Purchase Rights, provided that, to the extent permitted under Section 423 of the Code, the Administrator may in its discretion from time to time exclude (on a uniform and nondiscriminatory basis or as otherwise permitted by Treasury Regulation Section 1.423-2) individuals who: (i) have not completed at least two (2) years of service since his or her last hire date (or, with respect to a decision to include an individual, such lesser period of time as may be determined by the Board in its discretion), (ii) customarily work not more than twenty (20) hours per week (or, with respect to a decision to include an individual, such lesser period of time as may be determined by the Board in its discretion), (iii) customarily work not more than five (5) months per calendar year (or, with respect to a decision to include an individual, such lesser period of time as may be determined by the Board in its discretion), (iv) are highly compensated employee within the meaning of Section 414(q) of the Code, provided the exclusion is applied with respect to each Offering Period in an identical manner to all highly compensated individuals of the employing Company or subsidiary whose employees are participating in that Offering Period. Each exclusion shall be applied with respect to an Offering Period in a manner complying with U.S. Treasury Regulation Section 1.423-2(e). Further, Employees who are citizens or residents of a non-U.S. jurisdiction (without regard to whether they also are citizens or residents of the United States or resident aliens (within the meaning of Section 7701(b)(1)(A) of the Code)) may be excluded from participation in any offering of Stock Purchase Rights under the Plan if the participation of such Employees is prohibited under the laws of the applicable jurisdiction or if complying with the laws of the applicable jurisdiction would cause an offering of Stock Purchase Rights under the Plan to violate Section 423 of the Code.</w:t>
      </w:r>
    </w:p>
    <w:p>
      <w:pPr>
        <w:spacing w:after="0" w:line="196" w:lineRule="exact"/>
        <w:rPr>
          <w:rFonts w:ascii="Times New Roman" w:cs="Times New Roman" w:eastAsia="Times New Roman" w:hAnsi="Times New Roman"/>
          <w:sz w:val="18"/>
          <w:szCs w:val="18"/>
          <w:color w:val="auto"/>
        </w:rPr>
      </w:pPr>
    </w:p>
    <w:p>
      <w:pPr>
        <w:jc w:val="both"/>
        <w:ind w:firstLine="648"/>
        <w:spacing w:after="0" w:line="266" w:lineRule="auto"/>
        <w:tabs>
          <w:tab w:leader="none" w:pos="1053"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Enrollment; Contributions</w:t>
      </w:r>
      <w:r>
        <w:rPr>
          <w:rFonts w:ascii="Times New Roman" w:cs="Times New Roman" w:eastAsia="Times New Roman" w:hAnsi="Times New Roman"/>
          <w:sz w:val="17"/>
          <w:szCs w:val="17"/>
          <w:color w:val="auto"/>
        </w:rPr>
        <w:t>. Participation in Stock Purchase Rights is voluntary and employees may accept or refuse Stock Purchase Rights in their absolute discretion. To accept and enroll in a Stock Purchase Right, an employee must sign and deliver to the Company a subscription agreement, enrollment form or any other method provided from time to time by the Company. Participation shall commence on the Offering Commencement Date, subject to receipt by the Company of the subscription agreement or enrollment forms within a date prior to the Offering Commencement Date as specified by the Administrator. By the delivery of such form to the Company, a grantee shall be deemed to have among other things, confirmed that a copy of the Plan has been made available to such Employee, and agreed to be bound by all the terms and conditions of the Plan and the Award Certificate respecting such Award. Contributions in respect of Stock Purchase Rights under the Plan (“</w:t>
      </w:r>
      <w:r>
        <w:rPr>
          <w:rFonts w:ascii="Times New Roman" w:cs="Times New Roman" w:eastAsia="Times New Roman" w:hAnsi="Times New Roman"/>
          <w:sz w:val="17"/>
          <w:szCs w:val="17"/>
          <w:i w:val="1"/>
          <w:iCs w:val="1"/>
          <w:color w:val="auto"/>
        </w:rPr>
        <w:t>Contributions</w:t>
      </w:r>
      <w:r>
        <w:rPr>
          <w:rFonts w:ascii="Times New Roman" w:cs="Times New Roman" w:eastAsia="Times New Roman" w:hAnsi="Times New Roman"/>
          <w:sz w:val="17"/>
          <w:szCs w:val="17"/>
          <w:color w:val="auto"/>
        </w:rPr>
        <w:t xml:space="preserve">”) shall be made in the following manner: (i) in respect of each pay period by after-tax payroll deduction of an amount between one and ten percent of such grantee’s Eligible Compensation (as defined below) during the Offering Period, as elected by the grantee at the time of enrollment or as herein provided, on a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basis per pay period; (ii) a one-time lump sum payment per Offering Period as elected by the grantee upon giving at least five business days’ notice to the Company; or (iii) a combination of payments pursuant to (i) and (ii). Notwithstanding any other provisions of the Plan or an Award Certificate, each grantee shall be subject to an annual contribution limit respecting Stock Purchase Rights of $25,000 of Fair Market Value of Shares (determined as at the applicable Offering Commencement Date).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35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7" w:name="page18"/>
    <w:bookmarkEnd w:id="17"/>
    <w:p>
      <w:pPr>
        <w:jc w:val="both"/>
        <w:ind w:firstLine="648"/>
        <w:spacing w:after="0" w:line="262" w:lineRule="auto"/>
        <w:tabs>
          <w:tab w:leader="none" w:pos="111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Eligible Compensation</w:t>
      </w:r>
      <w:r>
        <w:rPr>
          <w:rFonts w:ascii="Times New Roman" w:cs="Times New Roman" w:eastAsia="Times New Roman" w:hAnsi="Times New Roman"/>
          <w:sz w:val="18"/>
          <w:szCs w:val="18"/>
          <w:color w:val="auto"/>
        </w:rPr>
        <w:t>. For the purposes of Section 12(b)(i) above, Eligible Compensation shall mean the regular annual base salary of an employee, but does not include any variable compensation, bonuses, sales commission, payment for overtime, long-term disability payments, premium payments, differentials, achievement award payments, any special compensation or any mid-Offering Period salary increases;</w:t>
      </w:r>
    </w:p>
    <w:p>
      <w:pPr>
        <w:spacing w:after="0" w:line="177" w:lineRule="exact"/>
        <w:rPr>
          <w:rFonts w:ascii="Times New Roman" w:cs="Times New Roman" w:eastAsia="Times New Roman" w:hAnsi="Times New Roman"/>
          <w:sz w:val="18"/>
          <w:szCs w:val="18"/>
          <w:color w:val="auto"/>
        </w:rPr>
      </w:pPr>
    </w:p>
    <w:p>
      <w:pPr>
        <w:jc w:val="both"/>
        <w:ind w:firstLine="648"/>
        <w:spacing w:after="0" w:line="262" w:lineRule="auto"/>
        <w:tabs>
          <w:tab w:leader="none" w:pos="118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xml:space="preserve">. The purchase price at which Shares may be purchased pursuant to Stock Purchase Rights shall be determined by the Administrator, provided that such purchase price shall not be less than the </w:t>
      </w:r>
      <w:r>
        <w:rPr>
          <w:rFonts w:ascii="Times New Roman" w:cs="Times New Roman" w:eastAsia="Times New Roman" w:hAnsi="Times New Roman"/>
          <w:sz w:val="18"/>
          <w:szCs w:val="18"/>
          <w:u w:val="single" w:color="auto"/>
          <w:color w:val="auto"/>
        </w:rPr>
        <w:t>lesser</w:t>
      </w:r>
      <w:r>
        <w:rPr>
          <w:rFonts w:ascii="Times New Roman" w:cs="Times New Roman" w:eastAsia="Times New Roman" w:hAnsi="Times New Roman"/>
          <w:sz w:val="18"/>
          <w:szCs w:val="18"/>
          <w:color w:val="auto"/>
        </w:rPr>
        <w:t xml:space="preserve"> of: (i) 85% of the Fair Market Value of the Shares on the Offering Commencement Date; and (ii) 85% of the Fair Market Value of the Shares on the Offering Expiry Date.</w:t>
      </w:r>
    </w:p>
    <w:p>
      <w:pPr>
        <w:spacing w:after="0" w:line="177" w:lineRule="exact"/>
        <w:rPr>
          <w:rFonts w:ascii="Times New Roman" w:cs="Times New Roman" w:eastAsia="Times New Roman" w:hAnsi="Times New Roman"/>
          <w:sz w:val="18"/>
          <w:szCs w:val="18"/>
          <w:color w:val="auto"/>
        </w:rPr>
      </w:pPr>
    </w:p>
    <w:p>
      <w:pPr>
        <w:jc w:val="both"/>
        <w:ind w:firstLine="648"/>
        <w:spacing w:after="0" w:line="253" w:lineRule="auto"/>
        <w:tabs>
          <w:tab w:leader="none" w:pos="105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Event</w:t>
      </w:r>
      <w:r>
        <w:rPr>
          <w:rFonts w:ascii="Times New Roman" w:cs="Times New Roman" w:eastAsia="Times New Roman" w:hAnsi="Times New Roman"/>
          <w:sz w:val="18"/>
          <w:szCs w:val="18"/>
          <w:color w:val="auto"/>
        </w:rPr>
        <w:t xml:space="preserve">. In the case of a Sale Event, the surviving, continuing, successor, or purchasing corporation or parent thereof, as the case may be (the </w:t>
      </w:r>
      <w:r>
        <w:rPr>
          <w:rFonts w:ascii="Times New Roman" w:cs="Times New Roman" w:eastAsia="Times New Roman" w:hAnsi="Times New Roman"/>
          <w:sz w:val="18"/>
          <w:szCs w:val="18"/>
          <w:i w:val="1"/>
          <w:iCs w:val="1"/>
          <w:color w:val="auto"/>
        </w:rPr>
        <w:t>“Acquiring Corporation”</w:t>
      </w:r>
      <w:r>
        <w:rPr>
          <w:rFonts w:ascii="Times New Roman" w:cs="Times New Roman" w:eastAsia="Times New Roman" w:hAnsi="Times New Roman"/>
          <w:sz w:val="18"/>
          <w:szCs w:val="18"/>
          <w:color w:val="auto"/>
        </w:rPr>
        <w:t>), may, without the consent of any grantee, assume the Company’s rights and obligations respecting Stock Purchase Rights granted under the Plan. If the Acquiring Corporation elects not to assume the Company’s rights and obligations respecting Stock Purchase Rights granted under the Plan, the Offering Expiry Date of the then current Offering Period shall be accelerated to a date before the date of the Sale Event specified by the Administrator. All Stock Purchase Rights which are neither assumed by the Acquiring Corporation in connection with the Sale Event nor exercised as of the date of the Sale Event shall terminate and cease to be outstanding effective as of the date of the Sale Event.</w:t>
      </w:r>
    </w:p>
    <w:p>
      <w:pPr>
        <w:spacing w:after="0" w:line="186" w:lineRule="exact"/>
        <w:rPr>
          <w:rFonts w:ascii="Times New Roman" w:cs="Times New Roman" w:eastAsia="Times New Roman" w:hAnsi="Times New Roman"/>
          <w:sz w:val="18"/>
          <w:szCs w:val="18"/>
          <w:color w:val="auto"/>
        </w:rPr>
      </w:pPr>
    </w:p>
    <w:p>
      <w:pPr>
        <w:jc w:val="both"/>
        <w:ind w:firstLine="648"/>
        <w:spacing w:after="0" w:line="257" w:lineRule="auto"/>
        <w:tabs>
          <w:tab w:leader="none" w:pos="10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Qualification</w:t>
      </w:r>
      <w:r>
        <w:rPr>
          <w:rFonts w:ascii="Times New Roman" w:cs="Times New Roman" w:eastAsia="Times New Roman" w:hAnsi="Times New Roman"/>
          <w:sz w:val="18"/>
          <w:szCs w:val="18"/>
          <w:color w:val="auto"/>
        </w:rPr>
        <w:t>. Although the Company endeavors to qualify Stock Purchase Rights for favorable tax treatment under Section 423 of the Code and avoid adverse tax treatment (e.g., under Section 409A of the Code), the Company makes no representation to that effect and expressly disavows any covenant to maintain favorable or avoid unfavorable tax treatment, anything to the contrary in this Plan notwithstanding. The Company shall be unconstrained in its corporate activities without regard to the potential negative tax impact on Stock Purchase Right participants under the Plan.</w:t>
      </w:r>
    </w:p>
    <w:p>
      <w:pPr>
        <w:spacing w:after="0" w:line="182" w:lineRule="exact"/>
        <w:rPr>
          <w:rFonts w:ascii="Times New Roman" w:cs="Times New Roman" w:eastAsia="Times New Roman" w:hAnsi="Times New Roman"/>
          <w:sz w:val="18"/>
          <w:szCs w:val="18"/>
          <w:color w:val="auto"/>
        </w:rPr>
      </w:pPr>
    </w:p>
    <w:p>
      <w:pPr>
        <w:jc w:val="both"/>
        <w:ind w:firstLine="648"/>
        <w:spacing w:after="0" w:line="266" w:lineRule="auto"/>
        <w:tabs>
          <w:tab w:leader="none" w:pos="1045"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Purchase Rights Policies and Procedures</w:t>
      </w:r>
      <w:r>
        <w:rPr>
          <w:rFonts w:ascii="Times New Roman" w:cs="Times New Roman" w:eastAsia="Times New Roman" w:hAnsi="Times New Roman"/>
          <w:sz w:val="17"/>
          <w:szCs w:val="17"/>
          <w:color w:val="auto"/>
        </w:rPr>
        <w:t>. Without limiting the general powers of the Administrator set forth in Section 2(b) of the Plan, the Administrator may, from time to time, consistent with the Plan and the requirements of Section 423 of the Code, establish, change or terminate such rules, guidelines, policies, procedures, limitations, or adjustments as deemed advisable by the Administrator, in its discretion, for the proper administration of Stock Purchase Rights under the Plan, including, without limitation, to (i) establish a minimum Contribution amount required for participation in an Offering Period, (ii) limit the frequency and/or number of changes permitted in the rate of Contribution during an Offering Period, (iii) designate separate Offering Periods, (iv) terminate or change the Offering Periods, (v) establish the exchange ratio applicable to amounts withheld in a currency other than U.S. dollars,</w:t>
      </w:r>
    </w:p>
    <w:p>
      <w:pPr>
        <w:spacing w:after="0" w:line="1" w:lineRule="exact"/>
        <w:rPr>
          <w:rFonts w:ascii="Times New Roman" w:cs="Times New Roman" w:eastAsia="Times New Roman" w:hAnsi="Times New Roman"/>
          <w:sz w:val="17"/>
          <w:szCs w:val="17"/>
          <w:color w:val="auto"/>
        </w:rPr>
      </w:pPr>
    </w:p>
    <w:p>
      <w:pPr>
        <w:jc w:val="both"/>
        <w:ind w:firstLine="7"/>
        <w:spacing w:after="0" w:line="248" w:lineRule="auto"/>
        <w:tabs>
          <w:tab w:leader="none" w:pos="31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reasonable waiting and adjustment periods and/or accounting and crediting procedures to ensure that amounts applied toward the purchase of Shares for each grantee properly correspond with Contribution amounts, (vii) permit Contributions greater than or less than the amount designated by a Participant in order to adjust for the Company’s delay or mistake in processing an enrolment form or in otherwise effecting a grantee’s election under the Plan or, as advisable to comply with the requirements of Section 423 of the Code, (viii) determine the date and manner by which the Fair Market Value of a Share is determined for purposes of administration of the Plan, and (ix) establish such other limitations or procedures as the Administrator determines in its sole discretion advisable that are consistent with the Plan. All such actions by the Company shall be taken consistent with the requirement under Section 423(b)(5) of the Code that all grantees granted Stock Purchase Rights pursuant to an Offering Period shall have the same rights and privileges within the meaning of such section.</w:t>
      </w:r>
    </w:p>
    <w:p>
      <w:pPr>
        <w:spacing w:after="0" w:line="193" w:lineRule="exact"/>
        <w:rPr>
          <w:rFonts w:ascii="Times New Roman" w:cs="Times New Roman" w:eastAsia="Times New Roman" w:hAnsi="Times New Roman"/>
          <w:sz w:val="18"/>
          <w:szCs w:val="18"/>
          <w:color w:val="auto"/>
        </w:rPr>
      </w:pPr>
    </w:p>
    <w:p>
      <w:pPr>
        <w:jc w:val="both"/>
        <w:ind w:firstLine="648"/>
        <w:spacing w:after="0" w:line="255" w:lineRule="auto"/>
        <w:tabs>
          <w:tab w:leader="none" w:pos="1072"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or Termination of Stock Purchase Rights</w:t>
      </w:r>
      <w:r>
        <w:rPr>
          <w:rFonts w:ascii="Times New Roman" w:cs="Times New Roman" w:eastAsia="Times New Roman" w:hAnsi="Times New Roman"/>
          <w:sz w:val="18"/>
          <w:szCs w:val="18"/>
          <w:color w:val="auto"/>
        </w:rPr>
        <w:t>. Without limiting the provisions of Section 17, in the event that the Board determines that continuation of Stock Purchase Rights under the Plan or an Offering Period would result in unfavorable financial accounting consequences to the Company, the Administrator may, in its discretion and without the consent of any participant, including with respect to an Offering Period then in progress:</w:t>
      </w:r>
    </w:p>
    <w:p>
      <w:pPr>
        <w:jc w:val="both"/>
        <w:ind w:firstLine="7"/>
        <w:spacing w:after="0" w:line="249" w:lineRule="auto"/>
        <w:tabs>
          <w:tab w:leader="none" w:pos="22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Stock Purchase Rights under the Plan or any Offering Period, (ii) accelerate the Option Expiry Date of any Offering Period, (iii) reduce the discount applicable in determining the purchase price for Shares of any Offering Period, (iv) amend the Plan to conform with the safe harbor definition under the Financial Accounting Standards Board Accounting Standards Codification Topic 718 (or any successor thereto), (v) alter the purchase price for Shares under any Offering Period, (vi) reduce the maximum number of Shares that may be purchased in any Offering Period, (vii) reduce the maximum percentage of Compensation a grantee may elect to set aside as Contributions or (viii) take any combination of the foregoing actions.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35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TRANSFERABILITY OF AWARDS</w:t>
      </w:r>
    </w:p>
    <w:p>
      <w:pPr>
        <w:spacing w:after="0" w:line="220" w:lineRule="exact"/>
        <w:rPr>
          <w:sz w:val="20"/>
          <w:szCs w:val="20"/>
          <w:color w:val="auto"/>
        </w:rPr>
      </w:pPr>
    </w:p>
    <w:p>
      <w:pPr>
        <w:jc w:val="both"/>
        <w:ind w:firstLine="648"/>
        <w:spacing w:after="0" w:line="255" w:lineRule="auto"/>
        <w:tabs>
          <w:tab w:leader="none" w:pos="108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Except as provided in Section 13(b)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182" w:lineRule="exact"/>
        <w:rPr>
          <w:rFonts w:ascii="Times New Roman" w:cs="Times New Roman" w:eastAsia="Times New Roman" w:hAnsi="Times New Roman"/>
          <w:sz w:val="18"/>
          <w:szCs w:val="18"/>
          <w:color w:val="auto"/>
        </w:rPr>
      </w:pPr>
    </w:p>
    <w:p>
      <w:pPr>
        <w:jc w:val="both"/>
        <w:ind w:firstLine="648"/>
        <w:spacing w:after="0" w:line="255" w:lineRule="auto"/>
        <w:tabs>
          <w:tab w:leader="none" w:pos="11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Administrator Action</w:t>
      </w:r>
      <w:r>
        <w:rPr>
          <w:rFonts w:ascii="Times New Roman" w:cs="Times New Roman" w:eastAsia="Times New Roman" w:hAnsi="Times New Roman"/>
          <w:sz w:val="18"/>
          <w:szCs w:val="18"/>
          <w:color w:val="auto"/>
        </w:rPr>
        <w:t>. Notwithstanding Section 13(a), the Administrator, in its discretion, may provide either in the Award Certificate regarding a given Award or by subsequent written approval that the grantee (who is an employee or director) may transfer his or her Non-Qualified Stock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spacing w:after="0" w:line="182" w:lineRule="exact"/>
        <w:rPr>
          <w:rFonts w:ascii="Times New Roman" w:cs="Times New Roman" w:eastAsia="Times New Roman" w:hAnsi="Times New Roman"/>
          <w:sz w:val="18"/>
          <w:szCs w:val="18"/>
          <w:color w:val="auto"/>
        </w:rPr>
      </w:pPr>
    </w:p>
    <w:p>
      <w:pPr>
        <w:jc w:val="both"/>
        <w:ind w:firstLine="648"/>
        <w:spacing w:after="0" w:line="255" w:lineRule="auto"/>
        <w:tabs>
          <w:tab w:leader="none" w:pos="111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Family Member</w:t>
      </w:r>
      <w:r>
        <w:rPr>
          <w:rFonts w:ascii="Times New Roman" w:cs="Times New Roman" w:eastAsia="Times New Roman" w:hAnsi="Times New Roman"/>
          <w:sz w:val="18"/>
          <w:szCs w:val="18"/>
          <w:color w:val="auto"/>
        </w:rPr>
        <w:t>. For purposes of Section 13(b),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spacing w:after="0" w:line="182" w:lineRule="exact"/>
        <w:rPr>
          <w:rFonts w:ascii="Times New Roman" w:cs="Times New Roman" w:eastAsia="Times New Roman" w:hAnsi="Times New Roman"/>
          <w:sz w:val="18"/>
          <w:szCs w:val="18"/>
          <w:color w:val="auto"/>
        </w:rPr>
      </w:pPr>
    </w:p>
    <w:p>
      <w:pPr>
        <w:jc w:val="both"/>
        <w:ind w:firstLine="648"/>
        <w:spacing w:after="0" w:line="277" w:lineRule="auto"/>
        <w:tabs>
          <w:tab w:leader="none" w:pos="10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Designation of Beneficiary</w:t>
      </w:r>
      <w:r>
        <w:rPr>
          <w:rFonts w:ascii="Times New Roman" w:cs="Times New Roman" w:eastAsia="Times New Roman" w:hAnsi="Times New Roman"/>
          <w:sz w:val="17"/>
          <w:szCs w:val="17"/>
          <w:color w:val="auto"/>
        </w:rPr>
        <w:t>. To the extent permitted by the Company,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TAX WITHHOLDING</w:t>
      </w:r>
    </w:p>
    <w:p>
      <w:pPr>
        <w:spacing w:after="0" w:line="220" w:lineRule="exact"/>
        <w:rPr>
          <w:sz w:val="20"/>
          <w:szCs w:val="20"/>
          <w:color w:val="auto"/>
        </w:rPr>
      </w:pPr>
    </w:p>
    <w:p>
      <w:pPr>
        <w:jc w:val="both"/>
        <w:ind w:firstLine="648"/>
        <w:spacing w:after="0" w:line="253" w:lineRule="auto"/>
        <w:tabs>
          <w:tab w:leader="none" w:pos="104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by Grantee</w:t>
      </w:r>
      <w:r>
        <w:rPr>
          <w:rFonts w:ascii="Times New Roman" w:cs="Times New Roman" w:eastAsia="Times New Roman" w:hAnsi="Times New Roman"/>
          <w:sz w:val="18"/>
          <w:szCs w:val="18"/>
          <w:color w:val="auto"/>
        </w:rPr>
        <w:t>. Each grantee shall, no later than the date as of which the value of an Award or of any Shares or other amounts received thereunder first becomes includable in the gross income of the grantee for income tax purposes, pay to the Company, or make arrangements satisfactory to the Administrator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share certificates) to any grantee is subject to and conditioned on tax withholding obligations being satisfied by the grantee.</w:t>
      </w:r>
    </w:p>
    <w:p>
      <w:pPr>
        <w:spacing w:after="0" w:line="186" w:lineRule="exact"/>
        <w:rPr>
          <w:rFonts w:ascii="Times New Roman" w:cs="Times New Roman" w:eastAsia="Times New Roman" w:hAnsi="Times New Roman"/>
          <w:sz w:val="18"/>
          <w:szCs w:val="18"/>
          <w:color w:val="auto"/>
        </w:rPr>
      </w:pPr>
    </w:p>
    <w:p>
      <w:pPr>
        <w:jc w:val="both"/>
        <w:ind w:firstLine="648"/>
        <w:spacing w:after="0" w:line="270" w:lineRule="auto"/>
        <w:tabs>
          <w:tab w:leader="none" w:pos="1107"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 in Shares</w:t>
      </w:r>
      <w:r>
        <w:rPr>
          <w:rFonts w:ascii="Times New Roman" w:cs="Times New Roman" w:eastAsia="Times New Roman" w:hAnsi="Times New Roman"/>
          <w:sz w:val="17"/>
          <w:szCs w:val="17"/>
          <w:color w:val="auto"/>
        </w:rPr>
        <w:t>. The Administrator may require the Company’s tax withholding obligation to be satisfied, in whole or in part, by the Company withholding from Shares to be issued pursuant to any Award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For purposes of share withholding, the Fair Market Value of withheld shares shall be determined in the same manner as the value of Shares includible in income earned in respect of the Award. The Administrator may also require the Company’s tax withholding obligation to be satisfied, in whole or in part, by an arrangement whereby a certain number of Shares issued pursuant to any Award are immediately sold and proceeds from such sale are remitted to the Company in an amount that would satisfy the withholding amount due.</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35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SECTION 409A AWARDS</w:t>
      </w:r>
    </w:p>
    <w:p>
      <w:pPr>
        <w:spacing w:after="0" w:line="220"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or additional tax imposed pursuant to Section 409A. Further, the settlement of any 409A Award may not be accelerated except to the extent permitted by Section 409A.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TERMINATION OF SERVICE RELATIONSHIP, TRANSFER, LEAVE OF ABSENCE, ETC.</w:t>
      </w:r>
    </w:p>
    <w:p>
      <w:pPr>
        <w:spacing w:after="0" w:line="220" w:lineRule="exact"/>
        <w:rPr>
          <w:sz w:val="20"/>
          <w:szCs w:val="20"/>
          <w:color w:val="auto"/>
        </w:rPr>
      </w:pPr>
    </w:p>
    <w:p>
      <w:pPr>
        <w:ind w:right="20" w:firstLine="648"/>
        <w:spacing w:after="0" w:line="277" w:lineRule="auto"/>
        <w:tabs>
          <w:tab w:leader="none" w:pos="104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Relationship</w:t>
      </w:r>
      <w:r>
        <w:rPr>
          <w:rFonts w:ascii="Times New Roman" w:cs="Times New Roman" w:eastAsia="Times New Roman" w:hAnsi="Times New Roman"/>
          <w:sz w:val="18"/>
          <w:szCs w:val="18"/>
          <w:color w:val="auto"/>
        </w:rPr>
        <w:t>. If the grantee’s Service Relationship is with an Affiliate and such Affiliate ceases to be an Affiliate, the grantee shall be deemed to have terminated his or her Service Relationship for purposes of the Plan.</w:t>
      </w:r>
    </w:p>
    <w:p>
      <w:pPr>
        <w:spacing w:after="0" w:line="163" w:lineRule="exact"/>
        <w:rPr>
          <w:rFonts w:ascii="Times New Roman" w:cs="Times New Roman" w:eastAsia="Times New Roman" w:hAnsi="Times New Roman"/>
          <w:sz w:val="18"/>
          <w:szCs w:val="18"/>
          <w:color w:val="auto"/>
        </w:rPr>
      </w:pPr>
    </w:p>
    <w:p>
      <w:pPr>
        <w:ind w:right="20" w:firstLine="648"/>
        <w:spacing w:after="0" w:line="277" w:lineRule="auto"/>
        <w:tabs>
          <w:tab w:leader="none" w:pos="109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Events Not a Termination of Service Relationship.</w:t>
      </w:r>
      <w:r>
        <w:rPr>
          <w:rFonts w:ascii="Times New Roman" w:cs="Times New Roman" w:eastAsia="Times New Roman" w:hAnsi="Times New Roman"/>
          <w:sz w:val="18"/>
          <w:szCs w:val="18"/>
          <w:color w:val="auto"/>
        </w:rPr>
        <w:t xml:space="preserve"> For purposes of the Plan, the following events shall not be deemed a termination of a Service Relationship:</w:t>
      </w:r>
    </w:p>
    <w:p>
      <w:pPr>
        <w:spacing w:after="0" w:line="163" w:lineRule="exact"/>
        <w:rPr>
          <w:rFonts w:ascii="Times New Roman" w:cs="Times New Roman" w:eastAsia="Times New Roman" w:hAnsi="Times New Roman"/>
          <w:sz w:val="18"/>
          <w:szCs w:val="18"/>
          <w:color w:val="auto"/>
        </w:rPr>
      </w:pPr>
    </w:p>
    <w:p>
      <w:pPr>
        <w:ind w:left="1960" w:hanging="671"/>
        <w:spacing w:after="0"/>
        <w:tabs>
          <w:tab w:leader="none" w:pos="19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to the employment of the Company from an Affiliate or from the Company to an Affiliate, or from one Affiliate to</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another; or</w:t>
      </w:r>
    </w:p>
    <w:p>
      <w:pPr>
        <w:spacing w:after="0" w:line="201" w:lineRule="exact"/>
        <w:rPr>
          <w:rFonts w:ascii="Times New Roman" w:cs="Times New Roman" w:eastAsia="Times New Roman" w:hAnsi="Times New Roman"/>
          <w:sz w:val="18"/>
          <w:szCs w:val="18"/>
          <w:color w:val="auto"/>
        </w:rPr>
      </w:pPr>
    </w:p>
    <w:p>
      <w:pPr>
        <w:jc w:val="both"/>
        <w:ind w:firstLine="1289"/>
        <w:spacing w:after="0" w:line="262" w:lineRule="auto"/>
        <w:tabs>
          <w:tab w:leader="none" w:pos="181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AMENDMENTS AND TERMINATION</w:t>
      </w:r>
    </w:p>
    <w:p>
      <w:pPr>
        <w:spacing w:after="0" w:line="220" w:lineRule="exact"/>
        <w:rPr>
          <w:sz w:val="20"/>
          <w:szCs w:val="20"/>
          <w:color w:val="auto"/>
        </w:rPr>
      </w:pPr>
    </w:p>
    <w:p>
      <w:pPr>
        <w:jc w:val="both"/>
        <w:ind w:firstLine="641"/>
        <w:spacing w:after="0" w:line="251" w:lineRule="auto"/>
        <w:rPr>
          <w:sz w:val="20"/>
          <w:szCs w:val="20"/>
          <w:color w:val="auto"/>
        </w:rPr>
      </w:pPr>
      <w:r>
        <w:rPr>
          <w:rFonts w:ascii="Times New Roman" w:cs="Times New Roman" w:eastAsia="Times New Roman" w:hAnsi="Times New Roman"/>
          <w:sz w:val="18"/>
          <w:szCs w:val="18"/>
          <w:color w:val="auto"/>
        </w:rPr>
        <w:t>The Board may, at any time, amend or discontinue the Plan and the Administrator may, at any time, amend or cancel any outstanding Award for the purpose of satisfying changes in law or for any other lawful purpose, without obtaining the approval of shareholders; provided that no such action shall materially and adversely affect rights under any outstanding Award without the holder’s consent and any amendment to any provision of the Plan will be subject to any required regulatory approval and the provisions of applicable law, if any, that require the approval of shareholders. Notwithstanding the foregoing, the Company will be required to obtain the approval of the shareholders of the Company for any amendment related to (i) increasing the maximum number of Common Shares issuable under the Plan; (ii) a reduction in the exercise price of any Stock Options or Stock Appreciation Rights held by insiders or a reduction of the purchase price of any Stock Purchase Rights held by insiders; and (iii) an extension to the term of Stock Options or Stock Appreciation Rights held by insiders. Nothing in this Section 17 shall limit the Administrator’s authority to take any action permitted pursuant to Section 3(b) or 3(c).</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STATUS OF PLAN</w:t>
      </w:r>
    </w:p>
    <w:p>
      <w:pPr>
        <w:spacing w:after="0" w:line="220" w:lineRule="exact"/>
        <w:rPr>
          <w:sz w:val="20"/>
          <w:szCs w:val="20"/>
          <w:color w:val="auto"/>
        </w:rPr>
      </w:pPr>
    </w:p>
    <w:p>
      <w:pPr>
        <w:jc w:val="both"/>
        <w:ind w:firstLine="641"/>
        <w:spacing w:after="0" w:line="255" w:lineRule="auto"/>
        <w:rPr>
          <w:sz w:val="20"/>
          <w:szCs w:val="20"/>
          <w:color w:val="auto"/>
        </w:rPr>
      </w:pPr>
      <w:r>
        <w:rPr>
          <w:rFonts w:ascii="Times New Roman" w:cs="Times New Roman" w:eastAsia="Times New Roman" w:hAnsi="Times New Roman"/>
          <w:sz w:val="18"/>
          <w:szCs w:val="18"/>
          <w:color w:val="auto"/>
        </w:rPr>
        <w:t>With respect to the portion of any Award that has not been exercised and any payments in cash, Shares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Shares or make payments with respect to Awards hereunder, provided that the existence of such trusts or other arrangements is consistent with the foregoing sentence.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35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GENERAL PROVISIONS</w:t>
      </w:r>
    </w:p>
    <w:p>
      <w:pPr>
        <w:spacing w:after="0" w:line="220" w:lineRule="exact"/>
        <w:rPr>
          <w:sz w:val="20"/>
          <w:szCs w:val="20"/>
          <w:color w:val="auto"/>
        </w:rPr>
      </w:pPr>
    </w:p>
    <w:p>
      <w:pPr>
        <w:ind w:firstLine="648"/>
        <w:spacing w:after="0" w:line="277" w:lineRule="auto"/>
        <w:tabs>
          <w:tab w:leader="none" w:pos="11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Distribution</w:t>
      </w:r>
      <w:r>
        <w:rPr>
          <w:rFonts w:ascii="Times New Roman" w:cs="Times New Roman" w:eastAsia="Times New Roman" w:hAnsi="Times New Roman"/>
          <w:sz w:val="18"/>
          <w:szCs w:val="18"/>
          <w:color w:val="auto"/>
        </w:rPr>
        <w:t>. The Administrator may require each person acquiring Shares pursuant to an Award to represent to and agree with the Company in writing that such person is acquiring the shares without a view to distribution thereof.</w:t>
      </w:r>
    </w:p>
    <w:p>
      <w:pPr>
        <w:spacing w:after="0" w:line="163" w:lineRule="exact"/>
        <w:rPr>
          <w:rFonts w:ascii="Times New Roman" w:cs="Times New Roman" w:eastAsia="Times New Roman" w:hAnsi="Times New Roman"/>
          <w:sz w:val="18"/>
          <w:szCs w:val="18"/>
          <w:color w:val="auto"/>
        </w:rPr>
      </w:pPr>
    </w:p>
    <w:p>
      <w:pPr>
        <w:jc w:val="both"/>
        <w:ind w:firstLine="648"/>
        <w:spacing w:after="0" w:line="249" w:lineRule="auto"/>
        <w:tabs>
          <w:tab w:leader="none" w:pos="102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Shares</w:t>
      </w:r>
      <w:r>
        <w:rPr>
          <w:rFonts w:ascii="Times New Roman" w:cs="Times New Roman" w:eastAsia="Times New Roman" w:hAnsi="Times New Roman"/>
          <w:sz w:val="18"/>
          <w:szCs w:val="18"/>
          <w:color w:val="auto"/>
        </w:rPr>
        <w:t>. To the extent certificated, share certificates to grantees under this Plan shall be deemed delivered for all purposes when the Company or a transfer agent of the Company shall have mailed such certificates in the United States mail, addressed to the grantee, at the grantee’s last known address on file with the Company. Uncertificated Shares shall be deemed delivered for all purposes when the Company or a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are listed, quoted or traded. Any Shares issued pursuant to the Plan shall be subject to any stop-transfer orders and other restrictions as the Administrator deems necessary or advisable to comply with federal, state or foreign jurisdiction, securities or other laws, rules and quotation system on which the Shares are listed, quoted or traded. The Administrator may place legends on any Shares certificate or notations on any book entry to reference restrictions applicable to the Shares.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197" w:lineRule="exact"/>
        <w:rPr>
          <w:rFonts w:ascii="Times New Roman" w:cs="Times New Roman" w:eastAsia="Times New Roman" w:hAnsi="Times New Roman"/>
          <w:sz w:val="18"/>
          <w:szCs w:val="18"/>
          <w:color w:val="auto"/>
        </w:rPr>
      </w:pPr>
    </w:p>
    <w:p>
      <w:pPr>
        <w:jc w:val="both"/>
        <w:ind w:firstLine="648"/>
        <w:spacing w:after="0" w:line="262" w:lineRule="auto"/>
        <w:tabs>
          <w:tab w:leader="none" w:pos="107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Shareholder Rights</w:t>
      </w:r>
      <w:r>
        <w:rPr>
          <w:rFonts w:ascii="Times New Roman" w:cs="Times New Roman" w:eastAsia="Times New Roman" w:hAnsi="Times New Roman"/>
          <w:sz w:val="18"/>
          <w:szCs w:val="18"/>
          <w:color w:val="auto"/>
        </w:rPr>
        <w:t>. Until Share are deemed delivered in accordance with Section 19(b), no right to vote or receive dividends or any other rights of a shareholder will exist with respect to Shares to be issued in connection with an Award, notwithstanding the exercise of a Stock Option or any other action by the grantee with respect to an Award.</w:t>
      </w:r>
    </w:p>
    <w:p>
      <w:pPr>
        <w:spacing w:after="0" w:line="177" w:lineRule="exact"/>
        <w:rPr>
          <w:rFonts w:ascii="Times New Roman" w:cs="Times New Roman" w:eastAsia="Times New Roman" w:hAnsi="Times New Roman"/>
          <w:sz w:val="18"/>
          <w:szCs w:val="18"/>
          <w:color w:val="auto"/>
        </w:rPr>
      </w:pPr>
    </w:p>
    <w:p>
      <w:pPr>
        <w:jc w:val="both"/>
        <w:ind w:firstLine="648"/>
        <w:spacing w:after="0" w:line="262" w:lineRule="auto"/>
        <w:tabs>
          <w:tab w:leader="none" w:pos="106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Compensation Arrangements; No Employment Rights</w:t>
      </w:r>
      <w:r>
        <w:rPr>
          <w:rFonts w:ascii="Times New Roman" w:cs="Times New Roman" w:eastAsia="Times New Roman" w:hAnsi="Times New Roman"/>
          <w:sz w:val="18"/>
          <w:szCs w:val="18"/>
          <w:color w:val="auto"/>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w:t>
      </w:r>
    </w:p>
    <w:p>
      <w:pPr>
        <w:spacing w:after="0" w:line="177" w:lineRule="exact"/>
        <w:rPr>
          <w:rFonts w:ascii="Times New Roman" w:cs="Times New Roman" w:eastAsia="Times New Roman" w:hAnsi="Times New Roman"/>
          <w:sz w:val="18"/>
          <w:szCs w:val="18"/>
          <w:color w:val="auto"/>
        </w:rPr>
      </w:pPr>
    </w:p>
    <w:p>
      <w:pPr>
        <w:ind w:firstLine="648"/>
        <w:spacing w:after="0" w:line="277" w:lineRule="auto"/>
        <w:tabs>
          <w:tab w:leader="none" w:pos="104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Trading Policy Restrictions</w:t>
      </w:r>
      <w:r>
        <w:rPr>
          <w:rFonts w:ascii="Times New Roman" w:cs="Times New Roman" w:eastAsia="Times New Roman" w:hAnsi="Times New Roman"/>
          <w:sz w:val="18"/>
          <w:szCs w:val="18"/>
          <w:color w:val="auto"/>
        </w:rPr>
        <w:t>. Option exercises and other Awards under the Plan shall be subject to the Company’s insider trading policies and procedures, as in effect from time to time.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EFFECTIVE DATE OF PLAN</w:t>
      </w:r>
    </w:p>
    <w:p>
      <w:pPr>
        <w:spacing w:after="0" w:line="220" w:lineRule="exact"/>
        <w:rPr>
          <w:sz w:val="20"/>
          <w:szCs w:val="20"/>
          <w:color w:val="auto"/>
        </w:rPr>
      </w:pPr>
    </w:p>
    <w:p>
      <w:pPr>
        <w:jc w:val="both"/>
        <w:ind w:firstLine="641"/>
        <w:spacing w:after="0" w:line="252" w:lineRule="auto"/>
        <w:rPr>
          <w:sz w:val="20"/>
          <w:szCs w:val="20"/>
          <w:color w:val="auto"/>
        </w:rPr>
      </w:pPr>
      <w:r>
        <w:rPr>
          <w:rFonts w:ascii="Times New Roman" w:cs="Times New Roman" w:eastAsia="Times New Roman" w:hAnsi="Times New Roman"/>
          <w:sz w:val="18"/>
          <w:szCs w:val="18"/>
          <w:color w:val="auto"/>
        </w:rPr>
        <w:t>This Plan became effective on June 22, 2020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which is the date on which the Company’s shareholders approved this Plan. Certain amendments to the Plan were approved by the Board on April 24, 2025 and approved by the shareholders on June 3, 2025. An additional amendment to increase the maximum number of Shares reserved and available for issuance under the Plan was approved by the Board on April 27, 2026. This amendment will become effective only upon the date on which the Company’s shareholders approve such amendment to this Plan. No grants of Stock Options and other Awards may be made hereunder after the later of the tenth anniversary of the Effective Date or the tenth anniversary of the latest material amendment of this Plan and no grants of Incentive Stock Options may be made hereunder after the tenth anniversary of the date the Plan was approved by the Board.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GOVERNING LAW</w:t>
      </w:r>
    </w:p>
    <w:p>
      <w:pPr>
        <w:spacing w:after="0" w:line="220" w:lineRule="exact"/>
        <w:rPr>
          <w:sz w:val="20"/>
          <w:szCs w:val="20"/>
          <w:color w:val="auto"/>
        </w:rPr>
      </w:pPr>
    </w:p>
    <w:p>
      <w:pPr>
        <w:jc w:val="both"/>
        <w:ind w:firstLine="641"/>
        <w:spacing w:after="0" w:line="277" w:lineRule="auto"/>
        <w:rPr>
          <w:sz w:val="20"/>
          <w:szCs w:val="20"/>
          <w:color w:val="auto"/>
        </w:rPr>
      </w:pPr>
      <w:r>
        <w:rPr>
          <w:rFonts w:ascii="Times New Roman" w:cs="Times New Roman" w:eastAsia="Times New Roman" w:hAnsi="Times New Roman"/>
          <w:sz w:val="18"/>
          <w:szCs w:val="18"/>
          <w:color w:val="auto"/>
        </w:rPr>
        <w:t>This Plan and all Awards and actions taken thereunder shall be governed by and construed in accordance with the laws of the Province of British Columbia, applied without regard to conflict of law principles.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35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21" w:name="page22"/>
    <w:bookmarkEnd w:id="21"/>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36"/>
          <w:szCs w:val="36"/>
          <w:b w:val="1"/>
          <w:bCs w:val="1"/>
          <w:color w:val="auto"/>
        </w:rPr>
        <w:t>FENNEC PHARMACEUTICALS INC.</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5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20" w:type="dxa"/>
            <w:vAlign w:val="bottom"/>
          </w:tcPr>
          <w:p>
            <w:pPr>
              <w:spacing w:after="0"/>
              <w:rPr>
                <w:sz w:val="24"/>
                <w:szCs w:val="24"/>
                <w:color w:val="auto"/>
              </w:rPr>
            </w:pPr>
          </w:p>
        </w:tc>
        <w:tc>
          <w:tcPr>
            <w:tcW w:w="1140" w:type="dxa"/>
            <w:vAlign w:val="bottom"/>
            <w:shd w:val="clear" w:color="auto" w:fill="9ADAF6"/>
          </w:tcPr>
          <w:p>
            <w:pPr>
              <w:jc w:val="right"/>
              <w:ind w:right="5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52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Class</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20"/>
                <w:szCs w:val="20"/>
                <w:color w:val="auto"/>
              </w:rPr>
            </w:pPr>
          </w:p>
        </w:tc>
        <w:tc>
          <w:tcPr>
            <w:tcW w:w="1140" w:type="dxa"/>
            <w:vAlign w:val="bottom"/>
            <w:shd w:val="clear" w:color="auto" w:fill="9ADAF6"/>
          </w:tcPr>
          <w:p>
            <w:pPr>
              <w:jc w:val="right"/>
              <w:spacing w:after="0" w:line="240" w:lineRule="exact"/>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20"/>
                <w:szCs w:val="20"/>
                <w:color w:val="auto"/>
              </w:rPr>
            </w:pPr>
          </w:p>
        </w:tc>
        <w:tc>
          <w:tcPr>
            <w:tcW w:w="13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152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40" w:type="dxa"/>
            <w:vAlign w:val="bottom"/>
          </w:tcPr>
          <w:p>
            <w:pPr>
              <w:spacing w:after="0"/>
              <w:rPr>
                <w:sz w:val="20"/>
                <w:szCs w:val="20"/>
                <w:color w:val="auto"/>
              </w:rPr>
            </w:pPr>
          </w:p>
        </w:tc>
        <w:tc>
          <w:tcPr>
            <w:tcW w:w="10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20"/>
                <w:szCs w:val="20"/>
                <w:color w:val="auto"/>
              </w:rPr>
            </w:pPr>
          </w:p>
        </w:tc>
        <w:tc>
          <w:tcPr>
            <w:tcW w:w="15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Title</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Rule</w:t>
            </w:r>
          </w:p>
        </w:tc>
        <w:tc>
          <w:tcPr>
            <w:tcW w:w="20" w:type="dxa"/>
            <w:vAlign w:val="bottom"/>
          </w:tcPr>
          <w:p>
            <w:pPr>
              <w:spacing w:after="0"/>
              <w:rPr>
                <w:sz w:val="12"/>
                <w:szCs w:val="12"/>
                <w:color w:val="auto"/>
              </w:rPr>
            </w:pPr>
          </w:p>
        </w:tc>
        <w:tc>
          <w:tcPr>
            <w:tcW w:w="11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2"/>
                <w:szCs w:val="12"/>
                <w:color w:val="auto"/>
              </w:rPr>
            </w:pPr>
          </w:p>
        </w:tc>
        <w:tc>
          <w:tcPr>
            <w:tcW w:w="152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Offering Price</w:t>
            </w:r>
          </w:p>
        </w:tc>
        <w:tc>
          <w:tcPr>
            <w:tcW w:w="40" w:type="dxa"/>
            <w:vAlign w:val="bottom"/>
          </w:tcPr>
          <w:p>
            <w:pPr>
              <w:spacing w:after="0"/>
              <w:rPr>
                <w:sz w:val="12"/>
                <w:szCs w:val="12"/>
                <w:color w:val="auto"/>
              </w:rPr>
            </w:pPr>
          </w:p>
        </w:tc>
        <w:tc>
          <w:tcPr>
            <w:tcW w:w="10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Fee</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20" w:type="dxa"/>
            <w:vAlign w:val="bottom"/>
          </w:tcPr>
          <w:p>
            <w:pPr>
              <w:spacing w:after="0"/>
              <w:rPr>
                <w:sz w:val="24"/>
                <w:szCs w:val="24"/>
                <w:color w:val="auto"/>
              </w:rPr>
            </w:pPr>
          </w:p>
        </w:tc>
        <w:tc>
          <w:tcPr>
            <w:tcW w:w="152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Common</w:t>
            </w:r>
          </w:p>
        </w:tc>
        <w:tc>
          <w:tcPr>
            <w:tcW w:w="4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shares,</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40" w:type="dxa"/>
            <w:vAlign w:val="bottom"/>
            <w:tcBorders>
              <w:left w:val="single" w:sz="8" w:color="auto"/>
            </w:tcBorders>
          </w:tcPr>
          <w:p>
            <w:pPr>
              <w:spacing w:after="0"/>
              <w:rPr>
                <w:sz w:val="10"/>
                <w:szCs w:val="1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10"/>
                <w:szCs w:val="1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10"/>
                <w:szCs w:val="1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no par</w:t>
            </w:r>
          </w:p>
        </w:tc>
        <w:tc>
          <w:tcPr>
            <w:tcW w:w="40" w:type="dxa"/>
            <w:vAlign w:val="bottom"/>
          </w:tcPr>
          <w:p>
            <w:pPr>
              <w:spacing w:after="0"/>
              <w:rPr>
                <w:sz w:val="10"/>
                <w:szCs w:val="10"/>
                <w:color w:val="auto"/>
              </w:rPr>
            </w:pPr>
          </w:p>
        </w:tc>
        <w:tc>
          <w:tcPr>
            <w:tcW w:w="118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w w:val="98"/>
              </w:rPr>
              <w:t>Other</w:t>
            </w:r>
          </w:p>
        </w:tc>
        <w:tc>
          <w:tcPr>
            <w:tcW w:w="20" w:type="dxa"/>
            <w:vAlign w:val="bottom"/>
          </w:tcPr>
          <w:p>
            <w:pPr>
              <w:spacing w:after="0"/>
              <w:rPr>
                <w:sz w:val="10"/>
                <w:szCs w:val="10"/>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1,500,000</w:t>
            </w:r>
          </w:p>
        </w:tc>
        <w:tc>
          <w:tcPr>
            <w:tcW w:w="20" w:type="dxa"/>
            <w:vAlign w:val="bottom"/>
          </w:tcPr>
          <w:p>
            <w:pPr>
              <w:spacing w:after="0"/>
              <w:rPr>
                <w:sz w:val="10"/>
                <w:szCs w:val="10"/>
                <w:color w:val="auto"/>
              </w:rPr>
            </w:pPr>
          </w:p>
        </w:tc>
        <w:tc>
          <w:tcPr>
            <w:tcW w:w="13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$ 8.86</w:t>
            </w:r>
          </w:p>
        </w:tc>
        <w:tc>
          <w:tcPr>
            <w:tcW w:w="20" w:type="dxa"/>
            <w:vAlign w:val="bottom"/>
          </w:tcPr>
          <w:p>
            <w:pPr>
              <w:spacing w:after="0"/>
              <w:rPr>
                <w:sz w:val="10"/>
                <w:szCs w:val="10"/>
                <w:color w:val="auto"/>
              </w:rPr>
            </w:pPr>
          </w:p>
        </w:tc>
        <w:tc>
          <w:tcPr>
            <w:tcW w:w="152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10"/>
                <w:szCs w:val="10"/>
                <w:color w:val="auto"/>
              </w:rPr>
            </w:pPr>
          </w:p>
        </w:tc>
        <w:tc>
          <w:tcPr>
            <w:tcW w:w="15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$ 1,835.35</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shd w:val="clear" w:color="auto" w:fill="E7E7E2"/>
          </w:tcPr>
          <w:p>
            <w:pPr>
              <w:jc w:val="right"/>
              <w:spacing w:after="0" w:line="214" w:lineRule="exact"/>
              <w:rPr>
                <w:sz w:val="20"/>
                <w:szCs w:val="20"/>
                <w:color w:val="auto"/>
              </w:rPr>
            </w:pPr>
            <w:r>
              <w:rPr>
                <w:rFonts w:ascii="Arial" w:cs="Arial" w:eastAsia="Arial" w:hAnsi="Arial"/>
                <w:sz w:val="21"/>
                <w:szCs w:val="21"/>
                <w:color w:val="auto"/>
              </w:rPr>
              <w:t>13,290,000.00</w:t>
            </w:r>
          </w:p>
        </w:tc>
        <w:tc>
          <w:tcPr>
            <w:tcW w:w="40" w:type="dxa"/>
            <w:vAlign w:val="bottom"/>
          </w:tcPr>
          <w:p>
            <w:pPr>
              <w:spacing w:after="0"/>
              <w:rPr>
                <w:sz w:val="18"/>
                <w:szCs w:val="18"/>
                <w:color w:val="auto"/>
              </w:rPr>
            </w:pPr>
          </w:p>
        </w:tc>
        <w:tc>
          <w:tcPr>
            <w:tcW w:w="10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vMerge w:val="continue"/>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ind w:left="20"/>
              <w:spacing w:after="0" w:line="147" w:lineRule="exact"/>
              <w:rPr>
                <w:sz w:val="20"/>
                <w:szCs w:val="20"/>
                <w:color w:val="auto"/>
              </w:rPr>
            </w:pPr>
            <w:r>
              <w:rPr>
                <w:rFonts w:ascii="Arial" w:cs="Arial" w:eastAsia="Arial" w:hAnsi="Arial"/>
                <w:sz w:val="17"/>
                <w:szCs w:val="17"/>
                <w:color w:val="auto"/>
              </w:rPr>
              <w:t>value per</w:t>
            </w:r>
          </w:p>
        </w:tc>
        <w:tc>
          <w:tcPr>
            <w:tcW w:w="40" w:type="dxa"/>
            <w:vAlign w:val="bottom"/>
          </w:tcPr>
          <w:p>
            <w:pPr>
              <w:spacing w:after="0"/>
              <w:rPr>
                <w:sz w:val="12"/>
                <w:szCs w:val="12"/>
                <w:color w:val="auto"/>
              </w:rPr>
            </w:pPr>
          </w:p>
        </w:tc>
        <w:tc>
          <w:tcPr>
            <w:tcW w:w="11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E7E7E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1"/>
                <w:szCs w:val="21"/>
                <w:color w:val="auto"/>
              </w:rPr>
              <w:t>share</w:t>
            </w:r>
          </w:p>
        </w:tc>
        <w:tc>
          <w:tcPr>
            <w:tcW w:w="4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$ 1,835.35</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13,290,000.00</w:t>
            </w: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$ 1,835.35</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1</w:t>
      </w:r>
    </w:p>
    <w:p>
      <w:pPr>
        <w:spacing w:after="0" w:line="77" w:lineRule="exact"/>
        <w:rPr>
          <w:sz w:val="20"/>
          <w:szCs w:val="20"/>
          <w:color w:val="auto"/>
        </w:rPr>
      </w:pPr>
    </w:p>
    <w:p>
      <w:pPr>
        <w:ind w:left="800" w:right="840"/>
        <w:spacing w:after="0" w:line="246" w:lineRule="auto"/>
        <w:rPr>
          <w:sz w:val="20"/>
          <w:szCs w:val="20"/>
          <w:color w:val="auto"/>
        </w:rPr>
      </w:pPr>
      <w:r>
        <w:rPr>
          <w:rFonts w:ascii="Arial" w:cs="Arial" w:eastAsia="Arial" w:hAnsi="Arial"/>
          <w:sz w:val="21"/>
          <w:szCs w:val="21"/>
          <w:color w:val="auto"/>
        </w:rPr>
        <w:t>Consists of common shares, no par value per share ("Common Shares"), of Fennec Pharmaceuticals Inc. (the "Registrant") that are issuable under the Registrant's 2020 Equity Incentive Plan. Pursuant to Rule 416(a) promulgated under the Securities Act of 1933, as amended (the "Securities Act"), this Registration Statement shall also cover any additional shares of Registrant's Common Shares that become issuable under the 2020 Equity Incentive Plan by reason of any stock dividend, stock split, recapitalization, or other similar transaction.</w:t>
      </w:r>
    </w:p>
    <w:p>
      <w:pPr>
        <w:spacing w:after="0" w:line="198" w:lineRule="exact"/>
        <w:rPr>
          <w:sz w:val="20"/>
          <w:szCs w:val="20"/>
          <w:color w:val="auto"/>
        </w:rPr>
      </w:pPr>
    </w:p>
    <w:p>
      <w:pPr>
        <w:ind w:left="800" w:right="680"/>
        <w:spacing w:after="0" w:line="258" w:lineRule="auto"/>
        <w:rPr>
          <w:sz w:val="20"/>
          <w:szCs w:val="20"/>
          <w:color w:val="auto"/>
        </w:rPr>
      </w:pPr>
      <w:r>
        <w:rPr>
          <w:rFonts w:ascii="Arial" w:cs="Arial" w:eastAsia="Arial" w:hAnsi="Arial"/>
          <w:sz w:val="21"/>
          <w:szCs w:val="21"/>
          <w:color w:val="auto"/>
        </w:rPr>
        <w:t>Estimated in accordance with Rules 457(c) and (h) of the Securities Act solely for the purpose of calculating the registration fee on the basis of $8.86 per share, which is the average of the high and low prices of the Common Shares as reported on The Nasdaq Capital Market on June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69215</wp:posOffset>
            </wp:positionV>
            <wp:extent cx="63874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8"/>
                <w:szCs w:val="18"/>
                <w:color w:val="auto"/>
              </w:rPr>
            </w:pPr>
          </w:p>
        </w:tc>
        <w:tc>
          <w:tcPr>
            <w:tcW w:w="84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145"/>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Filing</w:t>
            </w:r>
          </w:p>
        </w:tc>
        <w:tc>
          <w:tcPr>
            <w:tcW w:w="40" w:type="dxa"/>
            <w:vAlign w:val="bottom"/>
          </w:tcPr>
          <w:p>
            <w:pPr>
              <w:spacing w:after="0"/>
              <w:rPr>
                <w:sz w:val="12"/>
                <w:szCs w:val="12"/>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Number</w:t>
            </w:r>
          </w:p>
        </w:tc>
        <w:tc>
          <w:tcPr>
            <w:tcW w:w="20" w:type="dxa"/>
            <w:vAlign w:val="bottom"/>
          </w:tcPr>
          <w:p>
            <w:pPr>
              <w:spacing w:after="0"/>
              <w:rPr>
                <w:sz w:val="12"/>
                <w:szCs w:val="12"/>
                <w:color w:val="auto"/>
              </w:rPr>
            </w:pPr>
          </w:p>
        </w:tc>
        <w:tc>
          <w:tcPr>
            <w:tcW w:w="6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12"/>
                <w:szCs w:val="12"/>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Date</w:t>
            </w:r>
          </w:p>
        </w:tc>
        <w:tc>
          <w:tcPr>
            <w:tcW w:w="0" w:type="dxa"/>
            <w:vAlign w:val="bottom"/>
          </w:tcPr>
          <w:p>
            <w:pPr>
              <w:spacing w:after="0"/>
              <w:rPr>
                <w:sz w:val="1"/>
                <w:szCs w:val="1"/>
                <w:color w:val="auto"/>
              </w:rPr>
            </w:pPr>
          </w:p>
        </w:tc>
      </w:tr>
      <w:tr>
        <w:trPr>
          <w:trHeight w:val="142"/>
        </w:trPr>
        <w:tc>
          <w:tcPr>
            <w:tcW w:w="60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2"/>
                <w:szCs w:val="12"/>
                <w:color w:val="auto"/>
              </w:rPr>
            </w:pPr>
          </w:p>
        </w:tc>
        <w:tc>
          <w:tcPr>
            <w:tcW w:w="60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215"/>
        </w:trPr>
        <w:tc>
          <w:tcPr>
            <w:tcW w:w="86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Offset</w:t>
            </w:r>
          </w:p>
        </w:tc>
        <w:tc>
          <w:tcPr>
            <w:tcW w:w="40" w:type="dxa"/>
            <w:vAlign w:val="bottom"/>
          </w:tcPr>
          <w:p>
            <w:pPr>
              <w:spacing w:after="0"/>
              <w:rPr>
                <w:sz w:val="18"/>
                <w:szCs w:val="18"/>
                <w:color w:val="auto"/>
              </w:rPr>
            </w:pPr>
          </w:p>
        </w:tc>
        <w:tc>
          <w:tcPr>
            <w:tcW w:w="116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42"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decimal"/>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lowerRoman"/>
      <w:start w:val="3"/>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1)"/>
      <w:numFmt w:val="decimal"/>
      <w:start w:val="1"/>
    </w:lvl>
    <w:lvl w:ilvl="1">
      <w:lvlJc w:val="left"/>
      <w:lvlText w:val="(%2)"/>
      <w:numFmt w:val="lowerRoman"/>
      <w:start w:val="1"/>
    </w:lvl>
  </w:abstractNum>
  <w:abstractNum w:abstractNumId="5">
    <w:nsid w:val="3F2DBA31"/>
    <w:multiLevelType w:val="hybridMultilevel"/>
    <w:lvl w:ilvl="0">
      <w:lvlJc w:val="left"/>
      <w:lvlText w:val="(%1)"/>
      <w:numFmt w:val="decimal"/>
      <w:start w:val="2"/>
    </w:lvl>
  </w:abstractNum>
  <w:abstractNum w:abstractNumId="6">
    <w:nsid w:val="7C83E458"/>
    <w:multiLevelType w:val="hybridMultilevel"/>
    <w:lvl w:ilvl="0">
      <w:lvlJc w:val="left"/>
      <w:lvlText w:val="(%1)"/>
      <w:numFmt w:val="lowerRoman"/>
      <w:start w:val="2"/>
    </w:lvl>
  </w:abstractNum>
  <w:abstractNum w:abstractNumId="7">
    <w:nsid w:val="257130A3"/>
    <w:multiLevelType w:val="hybridMultilevel"/>
    <w:lvl w:ilvl="0">
      <w:lvlJc w:val="left"/>
      <w:lvlText w:val="(%1)"/>
      <w:numFmt w:val="lowerLetter"/>
      <w:start w:val="1"/>
    </w:lvl>
    <w:lvl w:ilvl="1">
      <w:lvlJc w:val="left"/>
      <w:lvlText w:val="(%2)"/>
      <w:numFmt w:val="lowerRoman"/>
      <w:start w:val="1"/>
    </w:lvl>
  </w:abstractNum>
  <w:abstractNum w:abstractNumId="8">
    <w:nsid w:val="62BBD95A"/>
    <w:multiLevelType w:val="hybridMultilevel"/>
    <w:lvl w:ilvl="0">
      <w:lvlJc w:val="left"/>
      <w:lvlText w:val="(%1)"/>
      <w:numFmt w:val="lowerLetter"/>
      <w:start w:val="3"/>
    </w:lvl>
  </w:abstractNum>
  <w:abstractNum w:abstractNumId="9">
    <w:nsid w:val="436C6125"/>
    <w:multiLevelType w:val="hybridMultilevel"/>
    <w:lvl w:ilvl="0">
      <w:lvlJc w:val="left"/>
      <w:lvlText w:val="(%1)"/>
      <w:numFmt w:val="lowerLetter"/>
      <w:start w:val="4"/>
    </w:lvl>
  </w:abstractNum>
  <w:abstractNum w:abstractNumId="10">
    <w:nsid w:val="628C895D"/>
    <w:multiLevelType w:val="hybridMultilevel"/>
    <w:lvl w:ilvl="0">
      <w:lvlJc w:val="left"/>
      <w:lvlText w:val="(%1)"/>
      <w:numFmt w:val="lowerLetter"/>
      <w:start w:val="1"/>
    </w:lvl>
  </w:abstractNum>
  <w:abstractNum w:abstractNumId="11">
    <w:nsid w:val="333AB105"/>
    <w:multiLevelType w:val="hybridMultilevel"/>
    <w:lvl w:ilvl="0">
      <w:lvlJc w:val="left"/>
      <w:lvlText w:val="(%1)"/>
      <w:numFmt w:val="lowerLetter"/>
      <w:start w:val="3"/>
    </w:lvl>
  </w:abstractNum>
  <w:abstractNum w:abstractNumId="12">
    <w:nsid w:val="721DA317"/>
    <w:multiLevelType w:val="hybridMultilevel"/>
    <w:lvl w:ilvl="0">
      <w:lvlJc w:val="left"/>
      <w:lvlText w:val="(%1)"/>
      <w:numFmt w:val="lowerLetter"/>
      <w:start w:val="1"/>
    </w:lvl>
  </w:abstractNum>
  <w:abstractNum w:abstractNumId="13">
    <w:nsid w:val="2443A858"/>
    <w:multiLevelType w:val="hybridMultilevel"/>
    <w:lvl w:ilvl="0">
      <w:lvlJc w:val="left"/>
      <w:lvlText w:val="(%1)"/>
      <w:numFmt w:val="lowerLetter"/>
      <w:start w:val="4"/>
    </w:lvl>
    <w:lvl w:ilvl="1">
      <w:lvlJc w:val="left"/>
      <w:lvlText w:val="(%2)"/>
      <w:numFmt w:val="lowerRoman"/>
      <w:start w:val="1"/>
    </w:lvl>
  </w:abstractNum>
  <w:abstractNum w:abstractNumId="14">
    <w:nsid w:val="2D1D5AE9"/>
    <w:multiLevelType w:val="hybridMultilevel"/>
    <w:lvl w:ilvl="0">
      <w:lvlJc w:val="left"/>
      <w:lvlText w:val="(%1)"/>
      <w:numFmt w:val="lowerLetter"/>
      <w:start w:val="6"/>
    </w:lvl>
  </w:abstractNum>
  <w:abstractNum w:abstractNumId="15">
    <w:nsid w:val="6763845E"/>
    <w:multiLevelType w:val="hybridMultilevel"/>
    <w:lvl w:ilvl="0">
      <w:lvlJc w:val="left"/>
      <w:lvlText w:val="(%1)"/>
      <w:numFmt w:val="lowerLetter"/>
      <w:start w:val="1"/>
    </w:lvl>
  </w:abstractNum>
  <w:abstractNum w:abstractNumId="16">
    <w:nsid w:val="75A2A8D4"/>
    <w:multiLevelType w:val="hybridMultilevel"/>
    <w:lvl w:ilvl="0">
      <w:lvlJc w:val="left"/>
      <w:lvlText w:val="(%1)"/>
      <w:numFmt w:val="lowerLetter"/>
      <w:start w:val="3"/>
    </w:lvl>
  </w:abstractNum>
  <w:abstractNum w:abstractNumId="17">
    <w:nsid w:val="8EDBDAB"/>
    <w:multiLevelType w:val="hybridMultilevel"/>
    <w:lvl w:ilvl="0">
      <w:lvlJc w:val="left"/>
      <w:lvlText w:val="(%1)"/>
      <w:numFmt w:val="lowerLetter"/>
      <w:start w:val="1"/>
    </w:lvl>
  </w:abstractNum>
  <w:abstractNum w:abstractNumId="18">
    <w:nsid w:val="79838CB2"/>
    <w:multiLevelType w:val="hybridMultilevel"/>
    <w:lvl w:ilvl="0">
      <w:lvlJc w:val="left"/>
      <w:lvlText w:val="(%1)"/>
      <w:numFmt w:val="lowerLetter"/>
      <w:start w:val="1"/>
    </w:lvl>
  </w:abstractNum>
  <w:abstractNum w:abstractNumId="19">
    <w:nsid w:val="4353D0CD"/>
    <w:multiLevelType w:val="hybridMultilevel"/>
    <w:lvl w:ilvl="0">
      <w:lvlJc w:val="left"/>
      <w:lvlText w:val="(%1)"/>
      <w:numFmt w:val="lowerLetter"/>
      <w:start w:val="2"/>
    </w:lvl>
  </w:abstractNum>
  <w:abstractNum w:abstractNumId="20">
    <w:nsid w:val="B03E0C6"/>
    <w:multiLevelType w:val="hybridMultilevel"/>
    <w:lvl w:ilvl="0">
      <w:lvlJc w:val="left"/>
      <w:lvlText w:val="(%1)"/>
      <w:numFmt w:val="lowerLetter"/>
      <w:start w:val="1"/>
    </w:lvl>
  </w:abstractNum>
  <w:abstractNum w:abstractNumId="21">
    <w:nsid w:val="189A769B"/>
    <w:multiLevelType w:val="hybridMultilevel"/>
    <w:lvl w:ilvl="0">
      <w:lvlJc w:val="left"/>
      <w:lvlText w:val="(%1)"/>
      <w:numFmt w:val="lowerLetter"/>
      <w:start w:val="2"/>
    </w:lvl>
  </w:abstractNum>
  <w:abstractNum w:abstractNumId="22">
    <w:nsid w:val="54E49EB4"/>
    <w:multiLevelType w:val="hybridMultilevel"/>
    <w:lvl w:ilvl="0">
      <w:lvlJc w:val="left"/>
      <w:lvlText w:val="%1"/>
      <w:numFmt w:val="decimal"/>
      <w:start w:val="1"/>
    </w:lvl>
    <w:lvl w:ilvl="1">
      <w:lvlJc w:val="left"/>
      <w:lvlText w:val="(%2)"/>
      <w:numFmt w:val="lowerLetter"/>
      <w:start w:val="1"/>
    </w:lvl>
  </w:abstractNum>
  <w:abstractNum w:abstractNumId="23">
    <w:nsid w:val="71F32454"/>
    <w:multiLevelType w:val="hybridMultilevel"/>
    <w:lvl w:ilvl="0">
      <w:lvlJc w:val="left"/>
      <w:lvlText w:val="(%1)"/>
      <w:numFmt w:val="decimal"/>
      <w:start w:val="12"/>
    </w:lvl>
    <w:lvl w:ilvl="1">
      <w:lvlJc w:val="left"/>
      <w:lvlText w:val="(%2)"/>
      <w:numFmt w:val="lowerLetter"/>
      <w:start w:val="3"/>
    </w:lvl>
  </w:abstractNum>
  <w:abstractNum w:abstractNumId="24">
    <w:nsid w:val="2CA88611"/>
    <w:multiLevelType w:val="hybridMultilevel"/>
    <w:lvl w:ilvl="0">
      <w:lvlJc w:val="left"/>
      <w:lvlText w:val="%1"/>
      <w:numFmt w:val="lowerRoman"/>
      <w:start w:val="1"/>
    </w:lvl>
    <w:lvl w:ilvl="1">
      <w:lvlJc w:val="left"/>
      <w:lvlText w:val="(%2)"/>
      <w:numFmt w:val="lowerLetter"/>
      <w:start w:val="5"/>
    </w:lvl>
  </w:abstractNum>
  <w:abstractNum w:abstractNumId="25">
    <w:nsid w:val="836C40E"/>
    <w:multiLevelType w:val="hybridMultilevel"/>
    <w:lvl w:ilvl="0">
      <w:lvlJc w:val="left"/>
      <w:lvlText w:val="(%1)"/>
      <w:numFmt w:val="lowerRoman"/>
      <w:start w:val="6"/>
    </w:lvl>
    <w:lvl w:ilvl="1">
      <w:lvlJc w:val="left"/>
      <w:lvlText w:val="(%2)"/>
      <w:numFmt w:val="lowerLetter"/>
      <w:start w:val="10"/>
    </w:lvl>
  </w:abstractNum>
  <w:abstractNum w:abstractNumId="26">
    <w:nsid w:val="2901D82"/>
    <w:multiLevelType w:val="hybridMultilevel"/>
    <w:lvl w:ilvl="0">
      <w:lvlJc w:val="left"/>
      <w:lvlText w:val="(%1)"/>
      <w:numFmt w:val="lowerRoman"/>
      <w:start w:val="1"/>
    </w:lvl>
    <w:lvl w:ilvl="1">
      <w:lvlJc w:val="left"/>
      <w:lvlText w:val="%2"/>
      <w:numFmt w:val="lowerLetter"/>
      <w:start w:val="1"/>
    </w:lvl>
  </w:abstractNum>
  <w:abstractNum w:abstractNumId="27">
    <w:nsid w:val="3A95F874"/>
    <w:multiLevelType w:val="hybridMultilevel"/>
    <w:lvl w:ilvl="0">
      <w:lvlJc w:val="left"/>
      <w:lvlText w:val="(%1)"/>
      <w:numFmt w:val="lowerLetter"/>
      <w:start w:val="1"/>
    </w:lvl>
  </w:abstractNum>
  <w:abstractNum w:abstractNumId="28">
    <w:nsid w:val="8138641"/>
    <w:multiLevelType w:val="hybridMultilevel"/>
    <w:lvl w:ilvl="0">
      <w:lvlJc w:val="left"/>
      <w:lvlText w:val="(%1)"/>
      <w:numFmt w:val="lowerLetter"/>
      <w:start w:val="1"/>
    </w:lvl>
  </w:abstractNum>
  <w:abstractNum w:abstractNumId="29">
    <w:nsid w:val="1E7FF521"/>
    <w:multiLevelType w:val="hybridMultilevel"/>
    <w:lvl w:ilvl="0">
      <w:lvlJc w:val="left"/>
      <w:lvlText w:val="(%1)"/>
      <w:numFmt w:val="lowerLetter"/>
      <w:start w:val="1"/>
    </w:lvl>
    <w:lvl w:ilvl="1">
      <w:lvlJc w:val="left"/>
      <w:lvlText w:val="(%2)"/>
      <w:numFmt w:val="lowerRoman"/>
      <w:start w:val="1"/>
    </w:lvl>
  </w:abstractNum>
  <w:abstractNum w:abstractNumId="30">
    <w:nsid w:val="7C3DBD3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jpe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13" Type="http://schemas.openxmlformats.org/officeDocument/2006/relationships/hyperlink" Target="https://www.sec.gov/ix?doc=/Archives/edgar/data/1211583/000110465926036182/fencf-20251231x10k.htm" TargetMode="External"/><Relationship Id="rId14" Type="http://schemas.openxmlformats.org/officeDocument/2006/relationships/hyperlink" Target="https://www.sec.gov/ix?doc=/Archives/edgar/data/1211583/000110465926050339/fencf-20260610xdef14a.htm" TargetMode="External"/><Relationship Id="rId15" Type="http://schemas.openxmlformats.org/officeDocument/2006/relationships/hyperlink" Target="https://www.sec.gov/ix?doc=/Archives/edgar/data/1211583/000110465926061213/fencf-20260331x10q.htm" TargetMode="External"/><Relationship Id="rId16" Type="http://schemas.openxmlformats.org/officeDocument/2006/relationships/hyperlink" Target="https://www.sec.gov/ix?doc=/Archives/edgar/data/1211583/000110465926050433/fencf-20260427x8k.htm" TargetMode="External"/><Relationship Id="rId17" Type="http://schemas.openxmlformats.org/officeDocument/2006/relationships/hyperlink" Target="https://www.sec.gov/ix?doc=/Archives/edgar/data/1211583/000110465926063271/fencf-20260518x8k.htm" TargetMode="External"/><Relationship Id="rId18" Type="http://schemas.openxmlformats.org/officeDocument/2006/relationships/hyperlink" Target="https://www.sec.gov/ix?doc=/Archives/edgar/data/1211583/000110465926072425/tm2617550d1_8k.htm" TargetMode="External"/><Relationship Id="rId19" Type="http://schemas.openxmlformats.org/officeDocument/2006/relationships/hyperlink" Target="http://www.sec.gov/Archives/edgar/data/1211583/000114420417047379/v474913_8a12b.htm" TargetMode="External"/><Relationship Id="rId23" Type="http://schemas.openxmlformats.org/officeDocument/2006/relationships/hyperlink" Target="https://www.sec.gov/Archives/edgar/data/1211583/000114420411050093/v233505_ex3-2i.htm" TargetMode="External"/><Relationship Id="rId24" Type="http://schemas.openxmlformats.org/officeDocument/2006/relationships/hyperlink" Target="https://www.sec.gov/Archives/edgar/data/1211583/000114420411050093/v233505_ex3-2ii.htm" TargetMode="External"/><Relationship Id="rId25" Type="http://schemas.openxmlformats.org/officeDocument/2006/relationships/hyperlink" Target="https://www.sec.gov/Archives/edgar/data/1211583/000114420414054965/v388749_ex3-1.htm" TargetMode="External"/><Relationship Id="rId26" Type="http://schemas.openxmlformats.org/officeDocument/2006/relationships/hyperlink" Target="https://www.sec.gov/Archives/edgar/data/1211583/000114420417029188/v467708_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2026-06-11T16:17:46Z</dcterms:created>
  <dcterms:modified xsi:type="dcterms:W3CDTF">2026-06-11T16:17:46Z</dcterms:modified>
</cp:coreProperties>
</file>